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FEF3E">
      <w:pPr>
        <w:spacing w:line="540" w:lineRule="exact"/>
        <w:rPr>
          <w:rFonts w:hint="eastAsia" w:ascii="仿宋" w:hAnsi="仿宋" w:eastAsia="仿宋" w:cs="宋体"/>
          <w:color w:val="FF0000"/>
          <w:sz w:val="32"/>
          <w:szCs w:val="32"/>
        </w:rPr>
      </w:pPr>
    </w:p>
    <w:p w14:paraId="7902F910">
      <w:pPr>
        <w:spacing w:line="540" w:lineRule="exact"/>
        <w:rPr>
          <w:rFonts w:hint="eastAsia" w:ascii="仿宋" w:hAnsi="仿宋" w:eastAsia="仿宋" w:cs="宋体"/>
          <w:color w:val="FF0000"/>
          <w:sz w:val="32"/>
          <w:szCs w:val="32"/>
        </w:rPr>
      </w:pPr>
    </w:p>
    <w:p w14:paraId="1CB06A2B">
      <w:pPr>
        <w:spacing w:line="540" w:lineRule="exact"/>
        <w:rPr>
          <w:rFonts w:hint="eastAsia" w:ascii="仿宋" w:hAnsi="仿宋" w:eastAsia="仿宋" w:cs="宋体"/>
          <w:color w:val="FF0000"/>
          <w:sz w:val="32"/>
          <w:szCs w:val="32"/>
        </w:rPr>
      </w:pPr>
    </w:p>
    <w:p w14:paraId="6A43B2F8">
      <w:pPr>
        <w:widowControl/>
        <w:spacing w:line="540" w:lineRule="exact"/>
        <w:jc w:val="right"/>
        <w:rPr>
          <w:rFonts w:hint="eastAsia" w:ascii="Times New Roman" w:hAnsi="Times New Roman" w:eastAsia="仿宋_GB2312" w:cs="宋体"/>
          <w:color w:val="auto"/>
          <w:sz w:val="32"/>
          <w:szCs w:val="32"/>
        </w:rPr>
      </w:pPr>
      <w:r>
        <w:rPr>
          <w:rFonts w:hint="eastAsia" w:ascii="Times New Roman" w:hAnsi="Times New Roman" w:eastAsia="仿宋_GB2312" w:cs="宋体"/>
          <w:color w:val="auto"/>
          <w:sz w:val="32"/>
          <w:szCs w:val="32"/>
        </w:rPr>
        <w:t>沪港务团发〔202</w:t>
      </w:r>
      <w:r>
        <w:rPr>
          <w:rFonts w:hint="eastAsia" w:eastAsia="仿宋_GB2312" w:cs="宋体"/>
          <w:color w:val="auto"/>
          <w:sz w:val="32"/>
          <w:szCs w:val="32"/>
          <w:lang w:val="en-US" w:eastAsia="zh-CN"/>
        </w:rPr>
        <w:t>6</w:t>
      </w:r>
      <w:r>
        <w:rPr>
          <w:rFonts w:hint="eastAsia" w:ascii="Times New Roman" w:hAnsi="Times New Roman" w:eastAsia="仿宋_GB2312" w:cs="宋体"/>
          <w:color w:val="auto"/>
          <w:sz w:val="32"/>
          <w:szCs w:val="32"/>
        </w:rPr>
        <w:t>〕</w:t>
      </w:r>
      <w:r>
        <w:rPr>
          <w:rFonts w:hint="eastAsia" w:ascii="Times New Roman" w:hAnsi="Times New Roman" w:eastAsia="仿宋_GB2312" w:cs="宋体"/>
          <w:color w:val="auto"/>
          <w:sz w:val="32"/>
          <w:szCs w:val="32"/>
          <w:lang w:val="en-US" w:eastAsia="zh-CN"/>
        </w:rPr>
        <w:t>8</w:t>
      </w:r>
      <w:r>
        <w:rPr>
          <w:rFonts w:hint="eastAsia" w:ascii="Times New Roman" w:hAnsi="Times New Roman" w:eastAsia="仿宋_GB2312" w:cs="宋体"/>
          <w:color w:val="auto"/>
          <w:sz w:val="32"/>
          <w:szCs w:val="32"/>
        </w:rPr>
        <w:t>号   签发：李佳玺</w:t>
      </w:r>
    </w:p>
    <w:p w14:paraId="7BFAD2C9">
      <w:pPr>
        <w:widowControl/>
        <w:spacing w:line="540" w:lineRule="exact"/>
        <w:rPr>
          <w:rFonts w:hint="eastAsia" w:ascii="仿宋" w:hAnsi="仿宋" w:eastAsia="仿宋" w:cs="宋体"/>
          <w:color w:val="auto"/>
          <w:sz w:val="32"/>
          <w:szCs w:val="32"/>
        </w:rPr>
      </w:pPr>
    </w:p>
    <w:p w14:paraId="36C50DC5">
      <w:pPr>
        <w:widowControl/>
        <w:spacing w:line="540" w:lineRule="exact"/>
        <w:jc w:val="center"/>
        <w:rPr>
          <w:rFonts w:hint="eastAsia" w:ascii="Times New Roman" w:hAnsi="Times New Roman" w:eastAsia="仿宋_GB2312" w:cs="宋体"/>
          <w:b/>
          <w:bCs/>
          <w:color w:val="auto"/>
          <w:sz w:val="32"/>
          <w:szCs w:val="32"/>
        </w:rPr>
      </w:pPr>
      <w:r>
        <w:rPr>
          <w:rFonts w:hint="eastAsia" w:ascii="Times New Roman" w:hAnsi="Times New Roman" w:eastAsia="仿宋_GB2312" w:cs="宋体"/>
          <w:b/>
          <w:bCs/>
          <w:color w:val="auto"/>
          <w:sz w:val="32"/>
          <w:szCs w:val="32"/>
        </w:rPr>
        <w:t>关于开展第十</w:t>
      </w:r>
      <w:r>
        <w:rPr>
          <w:rFonts w:hint="eastAsia" w:eastAsia="仿宋_GB2312" w:cs="宋体"/>
          <w:b/>
          <w:bCs/>
          <w:color w:val="auto"/>
          <w:sz w:val="32"/>
          <w:szCs w:val="32"/>
          <w:lang w:val="en-US" w:eastAsia="zh-CN"/>
        </w:rPr>
        <w:t>九</w:t>
      </w:r>
      <w:r>
        <w:rPr>
          <w:rFonts w:hint="eastAsia" w:ascii="Times New Roman" w:hAnsi="Times New Roman" w:eastAsia="仿宋_GB2312" w:cs="宋体"/>
          <w:b/>
          <w:bCs/>
          <w:color w:val="auto"/>
          <w:sz w:val="32"/>
          <w:szCs w:val="32"/>
        </w:rPr>
        <w:t>次增强团员意识主题教育月活动的通知</w:t>
      </w:r>
    </w:p>
    <w:p w14:paraId="5ABA0860">
      <w:pPr>
        <w:widowControl/>
        <w:spacing w:line="540" w:lineRule="exact"/>
        <w:rPr>
          <w:rFonts w:hint="eastAsia" w:ascii="仿宋_GB2312" w:hAnsi="仿宋_GB2312" w:eastAsia="仿宋_GB2312" w:cs="仿宋_GB2312"/>
          <w:color w:val="auto"/>
          <w:sz w:val="32"/>
          <w:szCs w:val="32"/>
        </w:rPr>
      </w:pPr>
    </w:p>
    <w:p w14:paraId="7F716236">
      <w:pPr>
        <w:widowControl/>
        <w:spacing w:after="0" w:line="560" w:lineRule="exact"/>
        <w:rPr>
          <w:rFonts w:hint="eastAsia" w:eastAsia="仿宋_GB2312" w:cs="宋体"/>
          <w:color w:val="auto"/>
          <w:sz w:val="32"/>
          <w:szCs w:val="32"/>
          <w14:ligatures w14:val="none"/>
        </w:rPr>
      </w:pPr>
      <w:r>
        <w:rPr>
          <w:rFonts w:hint="eastAsia" w:eastAsia="仿宋_GB2312" w:cs="宋体"/>
          <w:color w:val="auto"/>
          <w:sz w:val="32"/>
          <w:szCs w:val="32"/>
          <w14:ligatures w14:val="none"/>
        </w:rPr>
        <w:t>集团属各单位、各控股、参股公司团委（总支、支部）：</w:t>
      </w:r>
    </w:p>
    <w:p w14:paraId="10433A97">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eastAsia="仿宋_GB2312" w:cs="宋体"/>
          <w:color w:val="auto"/>
          <w:sz w:val="32"/>
          <w:szCs w:val="32"/>
          <w14:ligatures w14:val="none"/>
        </w:rPr>
      </w:pPr>
      <w:r>
        <w:rPr>
          <w:rFonts w:ascii="Times New Roman Regular" w:hAnsi="Times New Roman Regular" w:eastAsia="仿宋" w:cs="Times New Roman Regular"/>
          <w:color w:val="auto"/>
          <w:sz w:val="32"/>
          <w:szCs w:val="32"/>
        </w:rPr>
        <w:t>2026年是学习贯彻党的二十届四中全会精神的深化之年</w:t>
      </w:r>
      <w:r>
        <w:rPr>
          <w:rFonts w:hint="eastAsia" w:ascii="Times New Roman Regular" w:hAnsi="Times New Roman Regular" w:eastAsia="仿宋" w:cs="Times New Roman Regular"/>
          <w:color w:val="auto"/>
          <w:sz w:val="32"/>
          <w:szCs w:val="32"/>
          <w:lang w:eastAsia="zh-CN"/>
        </w:rPr>
        <w:t>，</w:t>
      </w:r>
      <w:r>
        <w:rPr>
          <w:rFonts w:ascii="Times New Roman Regular" w:hAnsi="Times New Roman Regular" w:eastAsia="仿宋" w:cs="Times New Roman Regular"/>
          <w:color w:val="auto"/>
          <w:sz w:val="32"/>
          <w:szCs w:val="32"/>
        </w:rPr>
        <w:t>是</w:t>
      </w:r>
      <w:r>
        <w:rPr>
          <w:rFonts w:hint="eastAsia" w:ascii="Times New Roman Regular" w:hAnsi="Times New Roman Regular" w:eastAsia="仿宋" w:cs="Times New Roman Regular"/>
          <w:color w:val="auto"/>
          <w:sz w:val="32"/>
          <w:szCs w:val="32"/>
        </w:rPr>
        <w:t>“</w:t>
      </w:r>
      <w:r>
        <w:rPr>
          <w:rFonts w:ascii="Times New Roman Regular" w:hAnsi="Times New Roman Regular" w:eastAsia="仿宋" w:cs="Times New Roman Regular"/>
          <w:color w:val="auto"/>
          <w:sz w:val="32"/>
          <w:szCs w:val="32"/>
        </w:rPr>
        <w:t>十五五</w:t>
      </w:r>
      <w:r>
        <w:rPr>
          <w:rFonts w:hint="eastAsia" w:ascii="Times New Roman Regular" w:hAnsi="Times New Roman Regular" w:eastAsia="仿宋" w:cs="Times New Roman Regular"/>
          <w:color w:val="auto"/>
          <w:sz w:val="32"/>
          <w:szCs w:val="32"/>
        </w:rPr>
        <w:t>”</w:t>
      </w:r>
      <w:r>
        <w:rPr>
          <w:rFonts w:ascii="Times New Roman Regular" w:hAnsi="Times New Roman Regular" w:eastAsia="仿宋" w:cs="Times New Roman Regular"/>
          <w:color w:val="auto"/>
          <w:sz w:val="32"/>
          <w:szCs w:val="32"/>
        </w:rPr>
        <w:t>规划的开局之年，也是集团锚定世界一流航运中心建设目标、加快培育新质生产力、推动高质量发展的关键之年。</w:t>
      </w:r>
      <w:r>
        <w:rPr>
          <w:rFonts w:hint="eastAsia" w:eastAsia="仿宋_GB2312" w:cs="宋体"/>
          <w:color w:val="auto"/>
          <w:sz w:val="32"/>
          <w:szCs w:val="32"/>
          <w14:ligatures w14:val="none"/>
        </w:rPr>
        <w:t>根据集团党委和上级团组织要求，为推动学习教育常抓不懈，引领全港青年紧扣集团“</w:t>
      </w:r>
      <w:r>
        <w:rPr>
          <w:rFonts w:ascii="Times New Roman Regular" w:hAnsi="Times New Roman Regular" w:eastAsia="仿宋" w:cs="Times New Roman Regular"/>
          <w:color w:val="auto"/>
          <w:sz w:val="32"/>
          <w:szCs w:val="32"/>
        </w:rPr>
        <w:t>稳中求进、攻坚克难、提质增效、保持优势</w:t>
      </w:r>
      <w:r>
        <w:rPr>
          <w:rFonts w:hint="eastAsia" w:eastAsia="仿宋_GB2312" w:cs="宋体"/>
          <w:color w:val="auto"/>
          <w:sz w:val="32"/>
          <w:szCs w:val="32"/>
          <w14:ligatures w14:val="none"/>
        </w:rPr>
        <w:t>”工作方针，以</w:t>
      </w:r>
      <w:r>
        <w:rPr>
          <w:rFonts w:hint="eastAsia" w:eastAsia="仿宋_GB2312" w:cs="宋体"/>
          <w:color w:val="auto"/>
          <w:sz w:val="32"/>
          <w:szCs w:val="32"/>
          <w:lang w:val="en-US" w:eastAsia="zh-CN"/>
          <w14:ligatures w14:val="none"/>
        </w:rPr>
        <w:t>更加</w:t>
      </w:r>
      <w:r>
        <w:rPr>
          <w:rFonts w:hint="eastAsia" w:eastAsia="仿宋_GB2312" w:cs="宋体"/>
          <w:color w:val="auto"/>
          <w:sz w:val="32"/>
          <w:szCs w:val="32"/>
          <w14:ligatures w14:val="none"/>
        </w:rPr>
        <w:t>优良务实的工作作风助力强港建设，集团团委决定在9月至10月期间，</w:t>
      </w:r>
      <w:r>
        <w:rPr>
          <w:rFonts w:hint="eastAsia" w:eastAsia="仿宋_GB2312" w:cs="宋体"/>
          <w:color w:val="auto"/>
          <w:sz w:val="32"/>
          <w:szCs w:val="32"/>
          <w:lang w:val="en-US" w:eastAsia="zh-CN"/>
          <w14:ligatures w14:val="none"/>
        </w:rPr>
        <w:t>组织</w:t>
      </w:r>
      <w:r>
        <w:rPr>
          <w:rFonts w:hint="eastAsia" w:eastAsia="仿宋_GB2312" w:cs="宋体"/>
          <w:color w:val="auto"/>
          <w:sz w:val="32"/>
          <w:szCs w:val="32"/>
          <w14:ligatures w14:val="none"/>
        </w:rPr>
        <w:t>开展第十</w:t>
      </w:r>
      <w:r>
        <w:rPr>
          <w:rFonts w:hint="eastAsia" w:eastAsia="仿宋_GB2312" w:cs="宋体"/>
          <w:color w:val="auto"/>
          <w:sz w:val="32"/>
          <w:szCs w:val="32"/>
          <w:lang w:val="en-US" w:eastAsia="zh-CN"/>
          <w14:ligatures w14:val="none"/>
        </w:rPr>
        <w:t>九</w:t>
      </w:r>
      <w:r>
        <w:rPr>
          <w:rFonts w:hint="eastAsia" w:eastAsia="仿宋_GB2312" w:cs="宋体"/>
          <w:color w:val="auto"/>
          <w:sz w:val="32"/>
          <w:szCs w:val="32"/>
          <w14:ligatures w14:val="none"/>
        </w:rPr>
        <w:t>次增强团员意识主题教育月活动</w:t>
      </w:r>
      <w:r>
        <w:rPr>
          <w:rFonts w:hint="eastAsia" w:eastAsia="仿宋_GB2312" w:cs="宋体"/>
          <w:color w:val="auto"/>
          <w:sz w:val="32"/>
          <w:szCs w:val="32"/>
          <w:lang w:eastAsia="zh-CN"/>
          <w14:ligatures w14:val="none"/>
        </w:rPr>
        <w:t>，</w:t>
      </w:r>
      <w:r>
        <w:rPr>
          <w:rFonts w:hint="eastAsia" w:eastAsia="仿宋_GB2312" w:cs="宋体"/>
          <w:color w:val="auto"/>
          <w:sz w:val="32"/>
          <w:szCs w:val="32"/>
          <w14:ligatures w14:val="none"/>
        </w:rPr>
        <w:t>现将有关安排和要求</w:t>
      </w:r>
      <w:r>
        <w:rPr>
          <w:rFonts w:hint="eastAsia" w:eastAsia="仿宋_GB2312" w:cs="宋体"/>
          <w:color w:val="auto"/>
          <w:sz w:val="32"/>
          <w:szCs w:val="32"/>
          <w:lang w:eastAsia="zh-CN"/>
          <w14:ligatures w14:val="none"/>
        </w:rPr>
        <w:t>通知</w:t>
      </w:r>
      <w:r>
        <w:rPr>
          <w:rFonts w:hint="eastAsia" w:eastAsia="仿宋_GB2312" w:cs="宋体"/>
          <w:color w:val="auto"/>
          <w:sz w:val="32"/>
          <w:szCs w:val="32"/>
          <w14:ligatures w14:val="none"/>
        </w:rPr>
        <w:t>如下：</w:t>
      </w:r>
    </w:p>
    <w:p w14:paraId="27FAFE2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auto"/>
          <w:sz w:val="32"/>
          <w:szCs w:val="32"/>
        </w:rPr>
      </w:pPr>
      <w:r>
        <w:rPr>
          <w:rFonts w:hint="eastAsia" w:ascii="黑体" w:hAnsi="黑体" w:eastAsia="黑体" w:cs="宋体"/>
          <w:bCs/>
          <w:color w:val="auto"/>
          <w:sz w:val="32"/>
          <w:szCs w:val="32"/>
        </w:rPr>
        <w:t>一、总体思路</w:t>
      </w:r>
    </w:p>
    <w:p w14:paraId="67A8DEAE">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eastAsia="仿宋_GB2312" w:cs="宋体"/>
          <w:color w:val="FF0000"/>
          <w:sz w:val="32"/>
          <w:szCs w:val="32"/>
          <w14:ligatures w14:val="none"/>
        </w:rPr>
      </w:pPr>
      <w:r>
        <w:rPr>
          <w:rFonts w:ascii="Times New Roman Regular" w:hAnsi="Times New Roman Regular" w:eastAsia="仿宋" w:cs="Times New Roman Regular"/>
          <w:sz w:val="32"/>
          <w:szCs w:val="32"/>
        </w:rPr>
        <w:t>深入学习贯彻党的二十届四中全会精神、习近平总书记</w:t>
      </w:r>
      <w:r>
        <w:rPr>
          <w:rFonts w:hint="eastAsia" w:ascii="Times New Roman Regular" w:hAnsi="Times New Roman Regular" w:eastAsia="仿宋" w:cs="Times New Roman Regular"/>
          <w:sz w:val="32"/>
          <w:szCs w:val="32"/>
        </w:rPr>
        <w:t>在庆祝</w:t>
      </w:r>
      <w:r>
        <w:rPr>
          <w:rFonts w:ascii="Times New Roman Regular" w:hAnsi="Times New Roman Regular" w:eastAsia="仿宋" w:cs="Times New Roman Regular"/>
          <w:sz w:val="32"/>
          <w:szCs w:val="32"/>
        </w:rPr>
        <w:t>中国共产党成立</w:t>
      </w:r>
      <w:r>
        <w:rPr>
          <w:rFonts w:hint="eastAsia" w:ascii="Times New Roman Regular" w:hAnsi="Times New Roman Regular" w:eastAsia="仿宋" w:cs="Times New Roman Regular"/>
          <w:sz w:val="32"/>
          <w:szCs w:val="32"/>
        </w:rPr>
        <w:t>105周年大会上的重要讲话精</w:t>
      </w:r>
      <w:r>
        <w:rPr>
          <w:rFonts w:hint="eastAsia" w:ascii="Times New Roman Regular" w:hAnsi="Times New Roman Regular" w:eastAsia="仿宋" w:cs="Times New Roman Regular"/>
          <w:color w:val="auto"/>
          <w:sz w:val="32"/>
          <w:szCs w:val="32"/>
        </w:rPr>
        <w:t>神</w:t>
      </w:r>
      <w:r>
        <w:rPr>
          <w:rFonts w:hint="eastAsia" w:eastAsia="仿宋_GB2312" w:cs="宋体"/>
          <w:color w:val="auto"/>
          <w:sz w:val="32"/>
          <w:szCs w:val="32"/>
          <w14:ligatures w14:val="none"/>
        </w:rPr>
        <w:t>，围绕集团党政中心工作和“世界一流航运枢纽”发展定位，坚持党建带团建，持续提升共青团的引领力、组织力、服务力和大局贡献度，团结带领全港团员青年以更加饱满的热情、昂扬的斗志、过硬的本领投身上海港高质量发展，</w:t>
      </w:r>
      <w:r>
        <w:rPr>
          <w:rFonts w:hint="eastAsia" w:ascii="Times New Roman Regular" w:hAnsi="Times New Roman Regular" w:eastAsia="仿宋" w:cs="Times New Roman Regular"/>
          <w:color w:val="auto"/>
          <w:sz w:val="32"/>
          <w:szCs w:val="32"/>
        </w:rPr>
        <w:t>同时精准对接青年期</w:t>
      </w:r>
      <w:r>
        <w:rPr>
          <w:rFonts w:hint="eastAsia" w:ascii="Times New Roman Regular" w:hAnsi="Times New Roman Regular" w:eastAsia="仿宋" w:cs="Times New Roman Regular"/>
          <w:sz w:val="32"/>
          <w:szCs w:val="32"/>
        </w:rPr>
        <w:t>盼，用心倾听青年心声，切实解决青年需求，以务实举措赋能青年成才，推动青年成长与企业发展同频共振</w:t>
      </w:r>
      <w:r>
        <w:rPr>
          <w:rFonts w:hint="eastAsia" w:ascii="Times New Roman Regular" w:hAnsi="Times New Roman Regular" w:eastAsia="仿宋" w:cs="Times New Roman Regular"/>
          <w:sz w:val="32"/>
          <w:szCs w:val="32"/>
          <w:lang w:eastAsia="zh-CN"/>
        </w:rPr>
        <w:t>，</w:t>
      </w:r>
      <w:r>
        <w:rPr>
          <w:rFonts w:hint="eastAsia" w:ascii="Times New Roman Regular" w:hAnsi="Times New Roman Regular" w:eastAsia="仿宋" w:cs="Times New Roman Regular"/>
          <w:sz w:val="32"/>
          <w:szCs w:val="32"/>
          <w:lang w:val="en-US" w:eastAsia="zh-CN"/>
        </w:rPr>
        <w:t>共</w:t>
      </w:r>
      <w:r>
        <w:rPr>
          <w:rFonts w:hint="eastAsia" w:ascii="Times New Roman Regular" w:hAnsi="Times New Roman Regular" w:eastAsia="仿宋" w:cs="Times New Roman Regular"/>
          <w:color w:val="auto"/>
          <w:sz w:val="32"/>
          <w:szCs w:val="32"/>
          <w:lang w:val="en-US" w:eastAsia="zh-CN"/>
        </w:rPr>
        <w:t>同成长</w:t>
      </w:r>
      <w:r>
        <w:rPr>
          <w:rFonts w:hint="eastAsia" w:eastAsia="仿宋_GB2312" w:cs="宋体"/>
          <w:color w:val="auto"/>
          <w:sz w:val="32"/>
          <w:szCs w:val="32"/>
          <w14:ligatures w14:val="none"/>
        </w:rPr>
        <w:t>。</w:t>
      </w:r>
    </w:p>
    <w:p w14:paraId="43A21CE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auto"/>
          <w:sz w:val="32"/>
          <w:szCs w:val="32"/>
        </w:rPr>
      </w:pPr>
      <w:r>
        <w:rPr>
          <w:rFonts w:hint="eastAsia" w:ascii="黑体" w:hAnsi="黑体" w:eastAsia="黑体" w:cs="宋体"/>
          <w:bCs/>
          <w:color w:val="auto"/>
          <w:sz w:val="32"/>
          <w:szCs w:val="32"/>
        </w:rPr>
        <w:t>二、主要内容</w:t>
      </w:r>
    </w:p>
    <w:p w14:paraId="4D1F05D7">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（一）</w:t>
      </w:r>
      <w:r>
        <w:rPr>
          <w:rFonts w:hint="eastAsia" w:ascii="仿宋_GB2312" w:hAnsi="仿宋_GB2312" w:eastAsia="仿宋_GB2312" w:cs="仿宋_GB2312"/>
          <w:b/>
          <w:bCs/>
          <w:color w:val="auto"/>
          <w:sz w:val="32"/>
          <w:szCs w:val="32"/>
          <w:lang w:val="en-US" w:eastAsia="zh-CN"/>
        </w:rPr>
        <w:t>在深学细悟中淬炼思想，夯实青年信仰之基</w:t>
      </w:r>
    </w:p>
    <w:p w14:paraId="6556DF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79" w:lineRule="auto"/>
        <w:ind w:left="0" w:right="0" w:firstLine="640" w:firstLineChars="200"/>
        <w:jc w:val="both"/>
        <w:textAlignment w:val="auto"/>
        <w:rPr>
          <w:rFonts w:hint="default" w:eastAsia="仿宋_GB2312" w:cs="宋体"/>
          <w:color w:val="auto"/>
          <w:sz w:val="32"/>
          <w:szCs w:val="32"/>
          <w:lang w:val="en-US"/>
          <w14:ligatures w14:val="none"/>
        </w:rPr>
      </w:pPr>
      <w:r>
        <w:rPr>
          <w:rFonts w:hint="eastAsia" w:ascii="Times New Roman Regular" w:hAnsi="Times New Roman Regular" w:eastAsia="仿宋" w:cs="Times New Roman Regular"/>
          <w:color w:val="auto"/>
          <w:kern w:val="2"/>
          <w:sz w:val="32"/>
          <w:szCs w:val="32"/>
          <w:lang w:val="en-US" w:eastAsia="zh-CN" w:bidi="ar-SA"/>
          <w14:ligatures w14:val="none"/>
        </w:rPr>
        <w:t>一是严格“三会一课”制度，通过团课、主题团日、自主学习等方式，深刻领会习近平总书记在2026世界人工智能大会人工智能全球治理高级别会议开幕式上的讲话及重要回信</w:t>
      </w:r>
      <w:r>
        <w:rPr>
          <w:rFonts w:hint="eastAsia" w:ascii="Times New Roman Regular" w:hAnsi="Times New Roman Regular" w:eastAsia="仿宋" w:cs="Times New Roman Regular"/>
          <w:color w:val="000000" w:themeColor="text1"/>
          <w:kern w:val="2"/>
          <w:sz w:val="32"/>
          <w:szCs w:val="32"/>
          <w:lang w:val="en-US" w:eastAsia="zh-CN" w:bidi="ar-SA"/>
          <w14:textFill>
            <w14:solidFill>
              <w14:schemeClr w14:val="tx1"/>
            </w14:solidFill>
          </w14:textFill>
          <w14:ligatures w14:val="none"/>
        </w:rPr>
        <w:t>精神</w:t>
      </w:r>
      <w:r>
        <w:rPr>
          <w:rFonts w:hint="eastAsia" w:eastAsia="仿宋_GB2312" w:cs="宋体"/>
          <w:color w:val="000000" w:themeColor="text1"/>
          <w:sz w:val="32"/>
          <w:szCs w:val="32"/>
          <w:lang w:val="en-US" w:eastAsia="zh-CN"/>
          <w14:textFill>
            <w14:solidFill>
              <w14:schemeClr w14:val="tx1"/>
            </w14:solidFill>
          </w14:textFill>
          <w14:ligatures w14:val="none"/>
        </w:rPr>
        <w:t>，感悟共青团在党领导下的职责使命、奋斗方向。</w:t>
      </w:r>
      <w:r>
        <w:rPr>
          <w:rFonts w:hint="eastAsia" w:eastAsia="仿宋_GB2312" w:cs="宋体"/>
          <w:color w:val="auto"/>
          <w:sz w:val="32"/>
          <w:szCs w:val="32"/>
          <w14:ligatures w14:val="none"/>
        </w:rPr>
        <w:t>二是通过“邀请单位党政领导主讲”“团干部带头讲”等形式，各基层团组织至少开展一次形势任务教育</w:t>
      </w:r>
      <w:r>
        <w:rPr>
          <w:rFonts w:hint="eastAsia" w:eastAsia="仿宋_GB2312" w:cs="宋体"/>
          <w:color w:val="auto"/>
          <w:sz w:val="32"/>
          <w:szCs w:val="32"/>
          <w:lang w:eastAsia="zh-CN"/>
          <w14:ligatures w14:val="none"/>
        </w:rPr>
        <w:t>，</w:t>
      </w:r>
      <w:r>
        <w:rPr>
          <w:rFonts w:hint="eastAsia" w:eastAsia="仿宋_GB2312" w:cs="宋体"/>
          <w:color w:val="auto"/>
          <w:sz w:val="32"/>
          <w:szCs w:val="32"/>
          <w:lang w:val="en-US" w:eastAsia="zh-CN"/>
          <w14:ligatures w14:val="none"/>
        </w:rPr>
        <w:t>帮助团员青年了解企业发展现状。三是继续推进从严治团、规范做好团纪处分条例学习，扎实开展团员发展和管理等工作，不断强化团员青年的纪律意识和作风建设。</w:t>
      </w:r>
    </w:p>
    <w:p w14:paraId="0F464267">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（二）以实干担当为要，彰显岗位建功之为</w:t>
      </w:r>
    </w:p>
    <w:p w14:paraId="287FF478">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eastAsia="仿宋_GB2312" w:cs="宋体"/>
          <w:color w:val="auto"/>
          <w:sz w:val="32"/>
          <w:szCs w:val="32"/>
          <w14:ligatures w14:val="none"/>
        </w:rPr>
      </w:pPr>
      <w:r>
        <w:rPr>
          <w:rFonts w:hint="eastAsia" w:eastAsia="仿宋_GB2312" w:cs="宋体"/>
          <w:color w:val="auto"/>
          <w:sz w:val="32"/>
          <w:szCs w:val="32"/>
          <w14:ligatures w14:val="none"/>
        </w:rPr>
        <w:t>一是协同</w:t>
      </w:r>
      <w:r>
        <w:rPr>
          <w:rFonts w:hint="eastAsia" w:eastAsia="仿宋_GB2312" w:cs="宋体"/>
          <w:color w:val="auto"/>
          <w:sz w:val="32"/>
          <w:szCs w:val="32"/>
          <w:lang w:val="en-US" w:eastAsia="zh-CN"/>
          <w14:ligatures w14:val="none"/>
        </w:rPr>
        <w:t>党</w:t>
      </w:r>
      <w:r>
        <w:rPr>
          <w:rFonts w:hint="eastAsia" w:eastAsia="仿宋_GB2312" w:cs="宋体"/>
          <w:color w:val="auto"/>
          <w:sz w:val="32"/>
          <w:szCs w:val="32"/>
          <w14:ligatures w14:val="none"/>
        </w:rPr>
        <w:t>组织</w:t>
      </w:r>
      <w:r>
        <w:rPr>
          <w:rFonts w:hint="eastAsia" w:eastAsia="仿宋_GB2312" w:cs="宋体"/>
          <w:color w:val="auto"/>
          <w:sz w:val="32"/>
          <w:szCs w:val="32"/>
          <w:lang w:val="en-US" w:eastAsia="zh-CN"/>
          <w14:ligatures w14:val="none"/>
        </w:rPr>
        <w:t>和工会组织</w:t>
      </w:r>
      <w:r>
        <w:rPr>
          <w:rFonts w:hint="eastAsia" w:eastAsia="仿宋_GB2312" w:cs="宋体"/>
          <w:color w:val="auto"/>
          <w:sz w:val="32"/>
          <w:szCs w:val="32"/>
          <w14:ligatures w14:val="none"/>
        </w:rPr>
        <w:t>，抓好</w:t>
      </w:r>
      <w:r>
        <w:rPr>
          <w:rFonts w:hint="eastAsia" w:eastAsia="仿宋_GB2312" w:cs="宋体"/>
          <w:color w:val="auto"/>
          <w:sz w:val="32"/>
          <w:szCs w:val="32"/>
          <w:lang w:val="en-US" w:eastAsia="zh-CN"/>
          <w14:ligatures w14:val="none"/>
        </w:rPr>
        <w:t>党工团</w:t>
      </w:r>
      <w:r>
        <w:rPr>
          <w:rFonts w:hint="eastAsia" w:eastAsia="仿宋_GB2312" w:cs="宋体"/>
          <w:color w:val="auto"/>
          <w:sz w:val="32"/>
          <w:szCs w:val="32"/>
          <w14:ligatures w14:val="none"/>
        </w:rPr>
        <w:t>突击队创建与维护。指导有条件的团组织通过授旗、佩戴徽章等形式强化</w:t>
      </w:r>
      <w:r>
        <w:rPr>
          <w:rFonts w:hint="eastAsia" w:eastAsia="仿宋_GB2312" w:cs="宋体"/>
          <w:color w:val="auto"/>
          <w:sz w:val="32"/>
          <w:szCs w:val="32"/>
          <w:lang w:val="en-US" w:eastAsia="zh-CN"/>
          <w14:ligatures w14:val="none"/>
        </w:rPr>
        <w:t>团员</w:t>
      </w:r>
      <w:r>
        <w:rPr>
          <w:rFonts w:hint="eastAsia" w:eastAsia="仿宋_GB2312" w:cs="宋体"/>
          <w:color w:val="auto"/>
          <w:sz w:val="32"/>
          <w:szCs w:val="32"/>
          <w14:ligatures w14:val="none"/>
        </w:rPr>
        <w:t>身份认同，激发青年集体斗志。二是聚焦企业发展重点，搭建青年创新平台，激发青年创效活力。继续做好第</w:t>
      </w:r>
      <w:r>
        <w:rPr>
          <w:rFonts w:hint="eastAsia" w:eastAsia="仿宋_GB2312" w:cs="宋体"/>
          <w:color w:val="auto"/>
          <w:sz w:val="32"/>
          <w:szCs w:val="32"/>
          <w:lang w:val="en-US" w:eastAsia="zh-CN"/>
          <w14:ligatures w14:val="none"/>
        </w:rPr>
        <w:t>五</w:t>
      </w:r>
      <w:r>
        <w:rPr>
          <w:rFonts w:hint="eastAsia" w:eastAsia="仿宋_GB2312" w:cs="宋体"/>
          <w:color w:val="auto"/>
          <w:sz w:val="32"/>
          <w:szCs w:val="32"/>
          <w14:ligatures w14:val="none"/>
        </w:rPr>
        <w:t>届“源创杯”</w:t>
      </w:r>
      <w:r>
        <w:rPr>
          <w:rFonts w:hint="eastAsia" w:eastAsia="仿宋_GB2312" w:cs="宋体"/>
          <w:color w:val="auto"/>
          <w:sz w:val="32"/>
          <w:szCs w:val="32"/>
          <w:lang w:val="en-US" w:eastAsia="zh-CN"/>
          <w14:ligatures w14:val="none"/>
        </w:rPr>
        <w:t>上港</w:t>
      </w:r>
      <w:r>
        <w:rPr>
          <w:rFonts w:hint="eastAsia" w:eastAsia="仿宋_GB2312" w:cs="宋体"/>
          <w:color w:val="auto"/>
          <w:sz w:val="32"/>
          <w:szCs w:val="32"/>
          <w14:ligatures w14:val="none"/>
        </w:rPr>
        <w:t>青年</w:t>
      </w:r>
      <w:r>
        <w:rPr>
          <w:rFonts w:hint="eastAsia" w:eastAsia="仿宋_GB2312" w:cs="宋体"/>
          <w:color w:val="auto"/>
          <w:sz w:val="32"/>
          <w:szCs w:val="32"/>
          <w:lang w:val="en-US" w:eastAsia="zh-CN"/>
          <w14:ligatures w14:val="none"/>
        </w:rPr>
        <w:t>AI创新</w:t>
      </w:r>
      <w:r>
        <w:rPr>
          <w:rFonts w:hint="eastAsia" w:eastAsia="仿宋_GB2312" w:cs="宋体"/>
          <w:color w:val="auto"/>
          <w:sz w:val="32"/>
          <w:szCs w:val="32"/>
          <w14:ligatures w14:val="none"/>
        </w:rPr>
        <w:t>大赛</w:t>
      </w:r>
      <w:r>
        <w:rPr>
          <w:rFonts w:hint="eastAsia" w:eastAsia="仿宋_GB2312" w:cs="宋体"/>
          <w:color w:val="auto"/>
          <w:sz w:val="32"/>
          <w:szCs w:val="32"/>
          <w:lang w:val="en-US" w:eastAsia="zh-CN"/>
          <w14:ligatures w14:val="none"/>
        </w:rPr>
        <w:t>评审、决赛等工作</w:t>
      </w:r>
      <w:r>
        <w:rPr>
          <w:rFonts w:hint="eastAsia" w:eastAsia="仿宋_GB2312" w:cs="宋体"/>
          <w:color w:val="auto"/>
          <w:sz w:val="32"/>
          <w:szCs w:val="32"/>
          <w14:ligatures w14:val="none"/>
        </w:rPr>
        <w:t>。三是在</w:t>
      </w:r>
      <w:r>
        <w:rPr>
          <w:rFonts w:hint="eastAsia" w:eastAsia="仿宋_GB2312" w:cs="宋体"/>
          <w:color w:val="auto"/>
          <w:sz w:val="32"/>
          <w:szCs w:val="32"/>
          <w:lang w:eastAsia="zh-CN"/>
          <w14:ligatures w14:val="none"/>
        </w:rPr>
        <w:t>“</w:t>
      </w:r>
      <w:r>
        <w:rPr>
          <w:rFonts w:hint="eastAsia" w:eastAsia="仿宋_GB2312" w:cs="宋体"/>
          <w:color w:val="auto"/>
          <w:sz w:val="32"/>
          <w:szCs w:val="32"/>
          <w14:ligatures w14:val="none"/>
        </w:rPr>
        <w:t>青</w:t>
      </w:r>
      <w:r>
        <w:rPr>
          <w:rFonts w:hint="eastAsia" w:eastAsia="仿宋_GB2312" w:cs="宋体"/>
          <w:color w:val="auto"/>
          <w:sz w:val="32"/>
          <w:szCs w:val="32"/>
          <w:lang w:eastAsia="zh-CN"/>
          <w14:ligatures w14:val="none"/>
        </w:rPr>
        <w:t>”</w:t>
      </w:r>
      <w:r>
        <w:rPr>
          <w:rFonts w:hint="eastAsia" w:eastAsia="仿宋_GB2312" w:cs="宋体"/>
          <w:color w:val="auto"/>
          <w:sz w:val="32"/>
          <w:szCs w:val="32"/>
          <w:lang w:val="en-US" w:eastAsia="zh-CN"/>
          <w14:ligatures w14:val="none"/>
        </w:rPr>
        <w:t>字品牌</w:t>
      </w:r>
      <w:r>
        <w:rPr>
          <w:rFonts w:hint="eastAsia" w:eastAsia="仿宋_GB2312" w:cs="宋体"/>
          <w:color w:val="auto"/>
          <w:sz w:val="32"/>
          <w:szCs w:val="32"/>
          <w14:ligatures w14:val="none"/>
        </w:rPr>
        <w:t>创建过程中，</w:t>
      </w:r>
      <w:r>
        <w:rPr>
          <w:rFonts w:hint="eastAsia" w:eastAsia="仿宋_GB2312" w:cs="宋体"/>
          <w:color w:val="auto"/>
          <w:sz w:val="32"/>
          <w:szCs w:val="32"/>
          <w:lang w:val="en-US" w:eastAsia="zh-CN"/>
          <w14:ligatures w14:val="none"/>
        </w:rPr>
        <w:t>鼓励青年集体</w:t>
      </w:r>
      <w:r>
        <w:rPr>
          <w:rFonts w:hint="eastAsia" w:eastAsia="仿宋_GB2312" w:cs="宋体"/>
          <w:color w:val="auto"/>
          <w:sz w:val="32"/>
          <w:szCs w:val="32"/>
          <w14:ligatures w14:val="none"/>
        </w:rPr>
        <w:t>以更高标准制定岗位创优目标、完善服务流程、争创一流业绩。在对外窗口、操作工区等醒目位置亮出青年文明号牌匾或创建标识，做到亮身份、亮形象、亮承诺。</w:t>
      </w:r>
    </w:p>
    <w:p w14:paraId="15C39655">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（三）以赋能培养为基，铺就青年成长之路</w:t>
      </w:r>
    </w:p>
    <w:p w14:paraId="769FBDD4">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eastAsia="仿宋_GB2312" w:cs="宋体"/>
          <w:color w:val="auto"/>
          <w:sz w:val="32"/>
          <w:szCs w:val="32"/>
          <w:lang w:eastAsia="zh-CN"/>
          <w14:ligatures w14:val="none"/>
        </w:rPr>
      </w:pPr>
      <w:r>
        <w:rPr>
          <w:rFonts w:hint="eastAsia" w:eastAsia="仿宋_GB2312" w:cs="宋体"/>
          <w:color w:val="auto"/>
          <w:sz w:val="32"/>
          <w:szCs w:val="32"/>
          <w14:ligatures w14:val="none"/>
        </w:rPr>
        <w:t>一是做好中秋、国庆等节日期间坚守岗位团员青年的关心慰问工作。各单位要组织团员青年参与</w:t>
      </w:r>
      <w:r>
        <w:rPr>
          <w:rFonts w:hint="eastAsia" w:eastAsia="仿宋_GB2312" w:cs="宋体"/>
          <w:color w:val="auto"/>
          <w:sz w:val="32"/>
          <w:szCs w:val="32"/>
          <w:lang w:eastAsia="zh-CN"/>
          <w14:ligatures w14:val="none"/>
        </w:rPr>
        <w:t>“</w:t>
      </w:r>
      <w:r>
        <w:rPr>
          <w:rFonts w:hint="eastAsia" w:eastAsia="仿宋_GB2312" w:cs="宋体"/>
          <w:color w:val="auto"/>
          <w:sz w:val="32"/>
          <w:szCs w:val="32"/>
          <w:lang w:val="en-US" w:eastAsia="zh-CN"/>
          <w14:ligatures w14:val="none"/>
        </w:rPr>
        <w:t>一封家书</w:t>
      </w:r>
      <w:r>
        <w:rPr>
          <w:rFonts w:hint="eastAsia" w:eastAsia="仿宋_GB2312" w:cs="宋体"/>
          <w:color w:val="auto"/>
          <w:sz w:val="32"/>
          <w:szCs w:val="32"/>
          <w:lang w:eastAsia="zh-CN"/>
          <w14:ligatures w14:val="none"/>
        </w:rPr>
        <w:t>”、</w:t>
      </w:r>
      <w:r>
        <w:rPr>
          <w:rFonts w:hint="eastAsia" w:eastAsia="仿宋_GB2312" w:cs="宋体"/>
          <w:color w:val="auto"/>
          <w:sz w:val="32"/>
          <w:szCs w:val="32"/>
          <w14:ligatures w14:val="none"/>
        </w:rPr>
        <w:t>“带着国旗来上港”工作照征集，提升青年的组织归属感。二是继续搭建好服务青年载体，各级团组织可根据单位及青年需求开展志愿者服务、交友联谊、体育竞技等多样化的文体活动。三是做好“学社衔接”工作，保证“学社衔接”率达到100%。做好新进员工“四个一”工作（一场欢迎会、一次团组织谈心、一场团日活动、一封家书）</w:t>
      </w:r>
      <w:r>
        <w:rPr>
          <w:rFonts w:hint="eastAsia" w:eastAsia="仿宋_GB2312" w:cs="宋体"/>
          <w:color w:val="auto"/>
          <w:sz w:val="32"/>
          <w:szCs w:val="32"/>
          <w:lang w:eastAsia="zh-CN"/>
          <w14:ligatures w14:val="none"/>
        </w:rPr>
        <w:t>。</w:t>
      </w:r>
    </w:p>
    <w:p w14:paraId="4A75A7B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000000" w:themeColor="text1"/>
          <w:sz w:val="32"/>
          <w:szCs w:val="32"/>
          <w14:textFill>
            <w14:solidFill>
              <w14:schemeClr w14:val="tx1"/>
            </w14:solidFill>
          </w14:textFill>
        </w:rPr>
      </w:pPr>
      <w:r>
        <w:rPr>
          <w:rFonts w:hint="eastAsia" w:ascii="黑体" w:hAnsi="黑体" w:eastAsia="黑体" w:cs="宋体"/>
          <w:bCs/>
          <w:color w:val="000000" w:themeColor="text1"/>
          <w:sz w:val="32"/>
          <w:szCs w:val="32"/>
          <w14:textFill>
            <w14:solidFill>
              <w14:schemeClr w14:val="tx1"/>
            </w14:solidFill>
          </w14:textFill>
        </w:rPr>
        <w:t>三、工作要求</w:t>
      </w:r>
    </w:p>
    <w:p w14:paraId="5915A158">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eastAsia="仿宋_GB2312" w:cs="宋体"/>
          <w:color w:val="000000" w:themeColor="text1"/>
          <w:sz w:val="32"/>
          <w:szCs w:val="32"/>
          <w14:textFill>
            <w14:solidFill>
              <w14:schemeClr w14:val="tx1"/>
            </w14:solidFill>
          </w14:textFill>
          <w14:ligatures w14:val="none"/>
        </w:rPr>
      </w:pPr>
      <w:r>
        <w:rPr>
          <w:rFonts w:hint="eastAsia" w:eastAsia="仿宋_GB2312" w:cs="宋体"/>
          <w:b/>
          <w:bCs/>
          <w:color w:val="000000" w:themeColor="text1"/>
          <w:sz w:val="32"/>
          <w:szCs w:val="32"/>
          <w14:textFill>
            <w14:solidFill>
              <w14:schemeClr w14:val="tx1"/>
            </w14:solidFill>
          </w14:textFill>
        </w:rPr>
        <w:t>（一）从严把控落实，确保活动实效。</w:t>
      </w:r>
      <w:r>
        <w:rPr>
          <w:rFonts w:hint="eastAsia" w:eastAsia="仿宋_GB2312" w:cs="宋体"/>
          <w:color w:val="000000" w:themeColor="text1"/>
          <w:sz w:val="32"/>
          <w:szCs w:val="32"/>
          <w14:textFill>
            <w14:solidFill>
              <w14:schemeClr w14:val="tx1"/>
            </w14:solidFill>
          </w14:textFill>
          <w14:ligatures w14:val="none"/>
        </w:rPr>
        <w:t>各级团组织和广大团干部、团员要提高政治站位，转变学风、严实作风，扎实开展好团员意识教育月期间的各项活动，以追求工作实效为目标，努力实现影响最大化、效果最优化。</w:t>
      </w:r>
    </w:p>
    <w:p w14:paraId="4CD544D2">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eastAsia="仿宋_GB2312" w:cs="宋体"/>
          <w:color w:val="000000" w:themeColor="text1"/>
          <w:sz w:val="32"/>
          <w:szCs w:val="32"/>
          <w14:textFill>
            <w14:solidFill>
              <w14:schemeClr w14:val="tx1"/>
            </w14:solidFill>
          </w14:textFill>
          <w14:ligatures w14:val="none"/>
        </w:rPr>
      </w:pPr>
      <w:r>
        <w:rPr>
          <w:rFonts w:hint="eastAsia" w:eastAsia="仿宋_GB2312" w:cs="宋体"/>
          <w:b/>
          <w:bCs/>
          <w:color w:val="000000" w:themeColor="text1"/>
          <w:sz w:val="32"/>
          <w:szCs w:val="32"/>
          <w14:textFill>
            <w14:solidFill>
              <w14:schemeClr w14:val="tx1"/>
            </w14:solidFill>
          </w14:textFill>
        </w:rPr>
        <w:t>（二）精心筹划组织，拓展覆盖范围。</w:t>
      </w:r>
      <w:r>
        <w:rPr>
          <w:rFonts w:hint="eastAsia" w:eastAsia="仿宋_GB2312" w:cs="宋体"/>
          <w:color w:val="000000" w:themeColor="text1"/>
          <w:sz w:val="32"/>
          <w:szCs w:val="32"/>
          <w14:textFill>
            <w14:solidFill>
              <w14:schemeClr w14:val="tx1"/>
            </w14:solidFill>
          </w14:textFill>
          <w14:ligatures w14:val="none"/>
        </w:rPr>
        <w:t>各级团组织要认真制订活动计划，确保各项工作推至基层团支部。对照活动计划，在收集和听取团员青年意见的基础上，对教育月活动的成效、经验和不足进行回顾和总结。要发挥好团建网格平台作用，努力扩大活动的覆盖面。</w:t>
      </w:r>
    </w:p>
    <w:p w14:paraId="022075A4">
      <w:pPr>
        <w:keepNext w:val="0"/>
        <w:keepLines w:val="0"/>
        <w:pageBreakBefore w:val="0"/>
        <w:widowControl/>
        <w:kinsoku/>
        <w:wordWrap/>
        <w:overflowPunct/>
        <w:topLinePunct w:val="0"/>
        <w:autoSpaceDE/>
        <w:autoSpaceDN/>
        <w:bidi w:val="0"/>
        <w:adjustRightInd/>
        <w:snapToGrid/>
        <w:spacing w:line="560" w:lineRule="exact"/>
        <w:ind w:firstLine="630" w:firstLineChars="196"/>
        <w:textAlignment w:val="auto"/>
        <w:rPr>
          <w:rFonts w:hint="eastAsia" w:eastAsia="仿宋_GB2312" w:cs="宋体"/>
          <w:color w:val="000000" w:themeColor="text1"/>
          <w:sz w:val="32"/>
          <w:szCs w:val="32"/>
          <w14:textFill>
            <w14:solidFill>
              <w14:schemeClr w14:val="tx1"/>
            </w14:solidFill>
          </w14:textFill>
          <w14:ligatures w14:val="none"/>
        </w:rPr>
      </w:pPr>
      <w:r>
        <w:rPr>
          <w:rFonts w:hint="eastAsia" w:eastAsia="仿宋_GB2312" w:cs="宋体"/>
          <w:b/>
          <w:bCs/>
          <w:color w:val="000000" w:themeColor="text1"/>
          <w:sz w:val="32"/>
          <w:szCs w:val="32"/>
          <w14:textFill>
            <w14:solidFill>
              <w14:schemeClr w14:val="tx1"/>
            </w14:solidFill>
          </w14:textFill>
        </w:rPr>
        <w:t>（三）加强舆论引导，汇聚青春力量。</w:t>
      </w:r>
      <w:r>
        <w:rPr>
          <w:rFonts w:hint="eastAsia" w:eastAsia="仿宋_GB2312" w:cs="宋体"/>
          <w:color w:val="000000" w:themeColor="text1"/>
          <w:sz w:val="32"/>
          <w:szCs w:val="32"/>
          <w14:textFill>
            <w14:solidFill>
              <w14:schemeClr w14:val="tx1"/>
            </w14:solidFill>
          </w14:textFill>
          <w14:ligatures w14:val="none"/>
        </w:rPr>
        <w:t>各级团组织要充分发挥新媒体的宣传作用，前期做好广泛发动，活动期间做好动态发布，增强宣传的感染力和影响力，努力在集团内形成统一声势。</w:t>
      </w:r>
    </w:p>
    <w:p w14:paraId="226EE081">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14:paraId="13DF9016">
      <w:pPr>
        <w:pStyle w:val="14"/>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14:ligatures w14:val="none"/>
        </w:rPr>
        <w:t>活动期间，各单位团组织需做好相关信息、数据及影像资料的收集整理，并按时完成以下报送要求：9月21日（周一）前报送“一封家书”稿件；9月28日（周一）前报送“带着国旗来上港”活动照片；11月4日（周三）前，将活动总结、情况统计表（附件1）及特色活动图文简讯汇总后，统一报送至集团团委邮</w:t>
      </w:r>
      <w:r>
        <w:rPr>
          <w:rFonts w:hint="eastAsia" w:eastAsia="仿宋_GB2312" w:cs="宋体"/>
          <w:color w:val="auto"/>
          <w:sz w:val="32"/>
          <w:szCs w:val="32"/>
        </w:rPr>
        <w:fldChar w:fldCharType="begin"/>
      </w:r>
      <w:r>
        <w:rPr>
          <w:rFonts w:hint="eastAsia" w:eastAsia="仿宋_GB2312" w:cs="宋体"/>
          <w:color w:val="auto"/>
          <w:sz w:val="32"/>
          <w:szCs w:val="32"/>
        </w:rPr>
        <w:instrText xml:space="preserve"> HYPERLINK "mailto:sipgtw@portshanghai.com.cn。" </w:instrText>
      </w:r>
      <w:r>
        <w:rPr>
          <w:rFonts w:hint="eastAsia" w:eastAsia="仿宋_GB2312" w:cs="宋体"/>
          <w:color w:val="auto"/>
          <w:sz w:val="32"/>
          <w:szCs w:val="32"/>
        </w:rPr>
        <w:fldChar w:fldCharType="separate"/>
      </w:r>
      <w:r>
        <w:rPr>
          <w:rStyle w:val="19"/>
          <w:rFonts w:hint="eastAsia" w:eastAsia="仿宋_GB2312" w:cs="宋体"/>
          <w:color w:val="auto"/>
          <w:sz w:val="32"/>
          <w:szCs w:val="32"/>
        </w:rPr>
        <w:t>sipgtw@portshanghai.com.cn。</w:t>
      </w:r>
      <w:r>
        <w:rPr>
          <w:rFonts w:hint="eastAsia" w:eastAsia="仿宋_GB2312" w:cs="宋体"/>
          <w:color w:val="auto"/>
          <w:sz w:val="32"/>
          <w:szCs w:val="32"/>
        </w:rPr>
        <w:fldChar w:fldCharType="end"/>
      </w:r>
    </w:p>
    <w:p w14:paraId="6412E03F">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联系人：</w:t>
      </w:r>
      <w:r>
        <w:rPr>
          <w:rFonts w:hint="eastAsia" w:ascii="仿宋_GB2312" w:hAnsi="仿宋_GB2312" w:eastAsia="仿宋_GB2312" w:cs="仿宋_GB2312"/>
          <w:color w:val="auto"/>
          <w:sz w:val="32"/>
          <w:szCs w:val="32"/>
          <w:lang w:val="en-US" w:eastAsia="zh-CN"/>
        </w:rPr>
        <w:t>梁泽鹏021-35308601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王绪蓉021-</w:t>
      </w:r>
      <w:r>
        <w:rPr>
          <w:rFonts w:hint="eastAsia" w:ascii="仿宋_GB2312" w:hAnsi="仿宋_GB2312" w:eastAsia="仿宋_GB2312" w:cs="仿宋_GB2312"/>
          <w:color w:val="auto"/>
          <w:sz w:val="32"/>
          <w:szCs w:val="32"/>
        </w:rPr>
        <w:t>35308602</w:t>
      </w:r>
    </w:p>
    <w:p w14:paraId="4183A46E">
      <w:pPr>
        <w:widowControl/>
        <w:spacing w:line="560" w:lineRule="exact"/>
        <w:rPr>
          <w:rFonts w:hint="eastAsia" w:eastAsia="仿宋_GB2312" w:cs="宋体"/>
          <w:color w:val="FF0000"/>
          <w:sz w:val="32"/>
          <w:szCs w:val="32"/>
        </w:rPr>
      </w:pPr>
    </w:p>
    <w:p w14:paraId="0621A2D3">
      <w:pPr>
        <w:overflowPunct w:val="0"/>
        <w:adjustRightInd w:val="0"/>
        <w:snapToGrid w:val="0"/>
        <w:spacing w:line="560" w:lineRule="exact"/>
        <w:ind w:firstLine="566" w:firstLineChars="177"/>
        <w:jc w:val="left"/>
        <w:rPr>
          <w:rFonts w:eastAsia="仿宋_GB2312" w:cs="宋体"/>
          <w:color w:val="auto"/>
          <w:sz w:val="32"/>
          <w:szCs w:val="32"/>
        </w:rPr>
      </w:pPr>
      <w:r>
        <w:rPr>
          <w:rFonts w:hint="eastAsia" w:eastAsia="仿宋_GB2312" w:cs="宋体"/>
          <w:color w:val="auto"/>
          <w:sz w:val="32"/>
          <w:szCs w:val="32"/>
        </w:rPr>
        <w:t>附件：</w:t>
      </w:r>
    </w:p>
    <w:p w14:paraId="231B2FEC">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次增强团员意识主题教育月活动情况统计表</w:t>
      </w:r>
    </w:p>
    <w:p w14:paraId="2837D0CF">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次增强团员意识主题教育月活动上报材料提示表</w:t>
      </w:r>
    </w:p>
    <w:p w14:paraId="6D51E5F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rPr>
      </w:pPr>
    </w:p>
    <w:p w14:paraId="15040471">
      <w:pPr>
        <w:tabs>
          <w:tab w:val="left" w:pos="540"/>
        </w:tabs>
        <w:spacing w:after="468" w:afterLines="150" w:line="560" w:lineRule="exact"/>
        <w:ind w:left="719" w:leftChars="271" w:right="153" w:hanging="150" w:hangingChars="47"/>
        <w:jc w:val="right"/>
        <w:rPr>
          <w:rFonts w:hint="eastAsia" w:eastAsia="仿宋_GB2312" w:cs="宋体"/>
          <w:color w:val="FF0000"/>
          <w:sz w:val="32"/>
          <w:szCs w:val="32"/>
        </w:rPr>
      </w:pPr>
    </w:p>
    <w:p w14:paraId="499C4BC3">
      <w:pPr>
        <w:widowControl/>
        <w:adjustRightInd w:val="0"/>
        <w:snapToGrid w:val="0"/>
        <w:spacing w:before="156" w:beforeLines="50" w:line="560" w:lineRule="exact"/>
        <w:ind w:firstLine="560" w:firstLineChars="200"/>
        <w:jc w:val="right"/>
        <w:rPr>
          <w:rFonts w:hint="eastAsia" w:ascii="仿宋_GB2312" w:hAnsi="仿宋_GB2312" w:eastAsia="仿宋_GB2312" w:cs="仿宋_GB2312"/>
          <w:color w:val="auto"/>
          <w:spacing w:val="-20"/>
          <w:sz w:val="32"/>
          <w:szCs w:val="32"/>
        </w:rPr>
      </w:pPr>
      <w:r>
        <w:rPr>
          <w:rFonts w:hint="eastAsia" w:ascii="仿宋_GB2312" w:hAnsi="仿宋_GB2312" w:eastAsia="仿宋_GB2312" w:cs="仿宋_GB2312"/>
          <w:color w:val="auto"/>
          <w:spacing w:val="-20"/>
          <w:sz w:val="32"/>
          <w:szCs w:val="32"/>
        </w:rPr>
        <w:t>共青团上海国际港务（集团）股份有限公司委员会</w:t>
      </w:r>
    </w:p>
    <w:p w14:paraId="7CAF413D">
      <w:pPr>
        <w:widowControl/>
        <w:spacing w:line="5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年9月</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日</w:t>
      </w:r>
    </w:p>
    <w:p w14:paraId="475C3DFA">
      <w:pPr>
        <w:keepNext w:val="0"/>
        <w:keepLines w:val="0"/>
        <w:pageBreakBefore w:val="0"/>
        <w:widowControl/>
        <w:kinsoku/>
        <w:wordWrap/>
        <w:overflowPunct/>
        <w:topLinePunct w:val="0"/>
        <w:autoSpaceDE/>
        <w:autoSpaceDN/>
        <w:bidi w:val="0"/>
        <w:adjustRightInd/>
        <w:snapToGrid w:val="0"/>
        <w:spacing w:after="624" w:afterLines="200" w:line="400" w:lineRule="exact"/>
        <w:jc w:val="both"/>
        <w:textAlignment w:val="auto"/>
        <w:rPr>
          <w:rFonts w:hint="eastAsia" w:eastAsia="仿宋_GB2312" w:cs="宋体"/>
          <w:color w:val="auto"/>
          <w:sz w:val="32"/>
          <w:szCs w:val="32"/>
        </w:rPr>
      </w:pPr>
    </w:p>
    <w:p w14:paraId="2E115F12">
      <w:pPr>
        <w:keepNext w:val="0"/>
        <w:keepLines w:val="0"/>
        <w:pageBreakBefore w:val="0"/>
        <w:widowControl/>
        <w:kinsoku/>
        <w:wordWrap/>
        <w:overflowPunct/>
        <w:topLinePunct w:val="0"/>
        <w:autoSpaceDE/>
        <w:autoSpaceDN/>
        <w:bidi w:val="0"/>
        <w:adjustRightInd/>
        <w:snapToGrid w:val="0"/>
        <w:spacing w:after="624" w:afterLines="200" w:line="400" w:lineRule="exact"/>
        <w:jc w:val="both"/>
        <w:textAlignment w:val="auto"/>
        <w:rPr>
          <w:rFonts w:hint="eastAsia" w:eastAsia="仿宋_GB2312" w:cs="宋体"/>
          <w:color w:val="auto"/>
          <w:sz w:val="32"/>
          <w:szCs w:val="32"/>
        </w:rPr>
      </w:pPr>
    </w:p>
    <w:p w14:paraId="61564D1C">
      <w:pPr>
        <w:widowControl/>
        <w:pBdr>
          <w:top w:val="single" w:color="auto" w:sz="4" w:space="1"/>
        </w:pBdr>
        <w:adjustRightInd w:val="0"/>
        <w:snapToGrid w:val="0"/>
        <w:spacing w:line="560" w:lineRule="exact"/>
        <w:jc w:val="left"/>
        <w:rPr>
          <w:rFonts w:eastAsia="仿宋_GB2312"/>
          <w:color w:val="auto"/>
          <w:sz w:val="32"/>
          <w:szCs w:val="32"/>
        </w:rPr>
      </w:pPr>
      <w:r>
        <w:rPr>
          <w:rFonts w:hint="eastAsia" w:eastAsia="仿宋_GB2312"/>
          <w:color w:val="auto"/>
          <w:sz w:val="32"/>
          <w:szCs w:val="32"/>
        </w:rPr>
        <w:t>抄  送：市国资委团工委</w:t>
      </w:r>
    </w:p>
    <w:p w14:paraId="3F89D4C0">
      <w:pPr>
        <w:pBdr>
          <w:bottom w:val="single" w:color="auto" w:sz="4" w:space="1"/>
        </w:pBdr>
        <w:spacing w:line="560" w:lineRule="exact"/>
        <w:rPr>
          <w:rFonts w:eastAsia="仿宋_GB2312"/>
          <w:color w:val="auto"/>
          <w:sz w:val="32"/>
          <w:szCs w:val="32"/>
        </w:rPr>
      </w:pPr>
      <w:r>
        <w:rPr>
          <w:rFonts w:hint="eastAsia" w:eastAsia="仿宋_GB2312"/>
          <w:color w:val="auto"/>
          <w:sz w:val="32"/>
          <w:szCs w:val="32"/>
        </w:rPr>
        <w:t>集团内：</w:t>
      </w:r>
      <w:r>
        <w:rPr>
          <w:rFonts w:hint="eastAsia" w:eastAsia="仿宋_GB2312" w:cs="宋体"/>
          <w:color w:val="auto"/>
          <w:spacing w:val="-10"/>
          <w:sz w:val="32"/>
          <w:szCs w:val="32"/>
        </w:rPr>
        <w:t>党委工作部、人事组织部、集团纪委、集团工会</w:t>
      </w:r>
      <w:r>
        <w:rPr>
          <w:rFonts w:hint="eastAsia" w:eastAsia="仿宋_GB2312"/>
          <w:color w:val="auto"/>
          <w:sz w:val="32"/>
          <w:szCs w:val="32"/>
        </w:rPr>
        <w:t>、集</w:t>
      </w:r>
    </w:p>
    <w:p w14:paraId="07AC84A6">
      <w:pPr>
        <w:pBdr>
          <w:bottom w:val="single" w:color="auto" w:sz="4" w:space="1"/>
        </w:pBdr>
        <w:spacing w:line="560" w:lineRule="exact"/>
        <w:ind w:firstLine="1280" w:firstLineChars="400"/>
        <w:rPr>
          <w:rFonts w:eastAsia="仿宋_GB2312"/>
          <w:color w:val="auto"/>
          <w:sz w:val="32"/>
          <w:szCs w:val="32"/>
        </w:rPr>
        <w:sectPr>
          <w:footerReference r:id="rId5" w:type="default"/>
          <w:footerReference r:id="rId6" w:type="even"/>
          <w:pgSz w:w="11906" w:h="16838"/>
          <w:pgMar w:top="1588" w:right="1588" w:bottom="1588" w:left="1588" w:header="851" w:footer="1418" w:gutter="0"/>
          <w:cols w:space="720" w:num="1"/>
          <w:docGrid w:type="lines" w:linePitch="312" w:charSpace="0"/>
        </w:sectPr>
      </w:pPr>
      <w:r>
        <w:rPr>
          <w:rFonts w:hint="eastAsia" w:eastAsia="仿宋_GB2312"/>
          <w:color w:val="auto"/>
          <w:sz w:val="32"/>
          <w:szCs w:val="32"/>
        </w:rPr>
        <w:t>团属各单位、各控股、参股公司党委（总支、支部）</w:t>
      </w:r>
    </w:p>
    <w:p w14:paraId="10758FF8">
      <w:pPr>
        <w:widowControl/>
        <w:spacing w:line="540" w:lineRule="exact"/>
        <w:rPr>
          <w:rFonts w:hint="eastAsia" w:ascii="仿宋" w:hAnsi="仿宋" w:eastAsia="仿宋"/>
          <w:color w:val="auto"/>
          <w:sz w:val="32"/>
          <w:szCs w:val="32"/>
        </w:rPr>
      </w:pPr>
      <w:r>
        <w:rPr>
          <w:rFonts w:hint="eastAsia" w:ascii="仿宋" w:hAnsi="仿宋" w:eastAsia="仿宋"/>
          <w:color w:val="auto"/>
          <w:sz w:val="32"/>
          <w:szCs w:val="32"/>
        </w:rPr>
        <w:t>附件1：</w:t>
      </w:r>
    </w:p>
    <w:p w14:paraId="7BEAA55D">
      <w:pPr>
        <w:widowControl/>
        <w:spacing w:before="240" w:after="312" w:afterLines="100" w:line="536" w:lineRule="exact"/>
        <w:jc w:val="center"/>
        <w:rPr>
          <w:rFonts w:ascii="仿宋" w:hAnsi="仿宋" w:eastAsia="仿宋" w:cs="宋体"/>
          <w:color w:val="auto"/>
          <w:sz w:val="32"/>
          <w:szCs w:val="32"/>
        </w:rPr>
      </w:pPr>
      <w:r>
        <w:rPr>
          <w:rFonts w:hint="eastAsia" w:ascii="仿宋" w:hAnsi="仿宋" w:eastAsia="仿宋" w:cs="宋体"/>
          <w:color w:val="auto"/>
          <w:sz w:val="32"/>
          <w:szCs w:val="32"/>
        </w:rPr>
        <w:t>第十</w:t>
      </w:r>
      <w:r>
        <w:rPr>
          <w:rFonts w:hint="eastAsia" w:ascii="仿宋" w:hAnsi="仿宋" w:eastAsia="仿宋" w:cs="宋体"/>
          <w:color w:val="auto"/>
          <w:sz w:val="32"/>
          <w:szCs w:val="32"/>
          <w:lang w:val="en-US" w:eastAsia="zh-CN"/>
        </w:rPr>
        <w:t>九</w:t>
      </w:r>
      <w:r>
        <w:rPr>
          <w:rFonts w:hint="eastAsia" w:ascii="仿宋" w:hAnsi="仿宋" w:eastAsia="仿宋" w:cs="宋体"/>
          <w:color w:val="auto"/>
          <w:sz w:val="32"/>
          <w:szCs w:val="32"/>
        </w:rPr>
        <w:t>次增强团员意识主题教育月活动情况统计表</w:t>
      </w:r>
    </w:p>
    <w:tbl>
      <w:tblPr>
        <w:tblStyle w:val="16"/>
        <w:tblW w:w="92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6"/>
        <w:gridCol w:w="1418"/>
        <w:gridCol w:w="1958"/>
        <w:gridCol w:w="850"/>
        <w:gridCol w:w="728"/>
        <w:gridCol w:w="709"/>
        <w:gridCol w:w="2864"/>
      </w:tblGrid>
      <w:tr w14:paraId="28569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44" w:hRule="atLeast"/>
          <w:jc w:val="center"/>
        </w:trPr>
        <w:tc>
          <w:tcPr>
            <w:tcW w:w="716" w:type="dxa"/>
            <w:noWrap w:val="0"/>
            <w:vAlign w:val="center"/>
          </w:tcPr>
          <w:p w14:paraId="5FA08D25">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序号</w:t>
            </w:r>
          </w:p>
        </w:tc>
        <w:tc>
          <w:tcPr>
            <w:tcW w:w="1418" w:type="dxa"/>
            <w:noWrap w:val="0"/>
            <w:vAlign w:val="center"/>
          </w:tcPr>
          <w:p w14:paraId="217511ED">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类别</w:t>
            </w:r>
          </w:p>
        </w:tc>
        <w:tc>
          <w:tcPr>
            <w:tcW w:w="1958" w:type="dxa"/>
            <w:noWrap w:val="0"/>
            <w:vAlign w:val="center"/>
          </w:tcPr>
          <w:p w14:paraId="19EF63A5">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具体工作</w:t>
            </w:r>
          </w:p>
        </w:tc>
        <w:tc>
          <w:tcPr>
            <w:tcW w:w="850" w:type="dxa"/>
            <w:noWrap w:val="0"/>
            <w:vAlign w:val="center"/>
          </w:tcPr>
          <w:p w14:paraId="68D8CE4F">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活动时间</w:t>
            </w:r>
          </w:p>
        </w:tc>
        <w:tc>
          <w:tcPr>
            <w:tcW w:w="728" w:type="dxa"/>
            <w:noWrap w:val="0"/>
            <w:vAlign w:val="center"/>
          </w:tcPr>
          <w:p w14:paraId="652B79F1">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活动场次</w:t>
            </w:r>
          </w:p>
        </w:tc>
        <w:tc>
          <w:tcPr>
            <w:tcW w:w="709" w:type="dxa"/>
            <w:noWrap w:val="0"/>
            <w:vAlign w:val="center"/>
          </w:tcPr>
          <w:p w14:paraId="1913E6D0">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参与人次</w:t>
            </w:r>
          </w:p>
        </w:tc>
        <w:tc>
          <w:tcPr>
            <w:tcW w:w="2864" w:type="dxa"/>
            <w:noWrap w:val="0"/>
            <w:vAlign w:val="center"/>
          </w:tcPr>
          <w:p w14:paraId="7C093FE8">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活动概述</w:t>
            </w:r>
          </w:p>
        </w:tc>
      </w:tr>
      <w:tr w14:paraId="5460C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2" w:hRule="atLeast"/>
          <w:jc w:val="center"/>
        </w:trPr>
        <w:tc>
          <w:tcPr>
            <w:tcW w:w="716" w:type="dxa"/>
            <w:noWrap w:val="0"/>
            <w:vAlign w:val="center"/>
          </w:tcPr>
          <w:p w14:paraId="18C4B923">
            <w:pPr>
              <w:widowControl/>
              <w:spacing w:line="320" w:lineRule="exact"/>
              <w:jc w:val="center"/>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1</w:t>
            </w:r>
          </w:p>
        </w:tc>
        <w:tc>
          <w:tcPr>
            <w:tcW w:w="1418" w:type="dxa"/>
            <w:vMerge w:val="restart"/>
            <w:noWrap w:val="0"/>
            <w:vAlign w:val="center"/>
          </w:tcPr>
          <w:p w14:paraId="33C3D663">
            <w:pPr>
              <w:widowControl/>
              <w:spacing w:line="320" w:lineRule="exact"/>
              <w:jc w:val="center"/>
              <w:rPr>
                <w:rFonts w:hint="eastAsia" w:ascii="仿宋" w:hAnsi="仿宋" w:eastAsia="仿宋" w:cs="宋体"/>
                <w:color w:val="000000" w:themeColor="text1"/>
                <w:sz w:val="24"/>
                <w:lang w:eastAsia="zh-CN"/>
                <w14:textFill>
                  <w14:solidFill>
                    <w14:schemeClr w14:val="tx1"/>
                  </w14:solidFill>
                </w14:textFill>
              </w:rPr>
            </w:pPr>
            <w:r>
              <w:rPr>
                <w:rFonts w:hint="eastAsia" w:ascii="仿宋" w:hAnsi="仿宋" w:eastAsia="仿宋" w:cs="宋体"/>
                <w:color w:val="000000" w:themeColor="text1"/>
                <w:sz w:val="24"/>
                <w:lang w:val="en-US" w:eastAsia="zh-CN"/>
                <w14:textFill>
                  <w14:solidFill>
                    <w14:schemeClr w14:val="tx1"/>
                  </w14:solidFill>
                </w14:textFill>
              </w:rPr>
              <w:t>思想引领</w:t>
            </w:r>
          </w:p>
        </w:tc>
        <w:tc>
          <w:tcPr>
            <w:tcW w:w="1958" w:type="dxa"/>
            <w:noWrap w:val="0"/>
            <w:vAlign w:val="center"/>
          </w:tcPr>
          <w:p w14:paraId="5286C2B1">
            <w:pPr>
              <w:widowControl/>
              <w:spacing w:line="320" w:lineRule="exact"/>
              <w:jc w:val="center"/>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lang w:val="en-US" w:eastAsia="zh-CN"/>
                <w14:textFill>
                  <w14:solidFill>
                    <w14:schemeClr w14:val="tx1"/>
                  </w14:solidFill>
                </w14:textFill>
              </w:rPr>
              <w:t>团课、主题团日</w:t>
            </w:r>
          </w:p>
        </w:tc>
        <w:tc>
          <w:tcPr>
            <w:tcW w:w="850" w:type="dxa"/>
            <w:noWrap w:val="0"/>
            <w:vAlign w:val="center"/>
          </w:tcPr>
          <w:p w14:paraId="7594B4E9">
            <w:pPr>
              <w:widowControl/>
              <w:spacing w:line="320" w:lineRule="exact"/>
              <w:jc w:val="center"/>
              <w:rPr>
                <w:rFonts w:ascii="仿宋" w:hAnsi="仿宋" w:eastAsia="仿宋" w:cs="宋体"/>
                <w:color w:val="FF0000"/>
                <w:sz w:val="24"/>
              </w:rPr>
            </w:pPr>
          </w:p>
        </w:tc>
        <w:tc>
          <w:tcPr>
            <w:tcW w:w="728" w:type="dxa"/>
            <w:noWrap w:val="0"/>
            <w:vAlign w:val="center"/>
          </w:tcPr>
          <w:p w14:paraId="69A7C466">
            <w:pPr>
              <w:widowControl/>
              <w:spacing w:line="320" w:lineRule="exact"/>
              <w:jc w:val="center"/>
              <w:rPr>
                <w:rFonts w:ascii="仿宋" w:hAnsi="仿宋" w:eastAsia="仿宋" w:cs="宋体"/>
                <w:color w:val="FF0000"/>
                <w:sz w:val="24"/>
              </w:rPr>
            </w:pPr>
          </w:p>
        </w:tc>
        <w:tc>
          <w:tcPr>
            <w:tcW w:w="709" w:type="dxa"/>
            <w:noWrap w:val="0"/>
            <w:vAlign w:val="center"/>
          </w:tcPr>
          <w:p w14:paraId="24E9CD8C">
            <w:pPr>
              <w:widowControl/>
              <w:spacing w:line="320" w:lineRule="exact"/>
              <w:jc w:val="center"/>
              <w:rPr>
                <w:rFonts w:ascii="仿宋" w:hAnsi="仿宋" w:eastAsia="仿宋" w:cs="宋体"/>
                <w:color w:val="FF0000"/>
                <w:sz w:val="24"/>
              </w:rPr>
            </w:pPr>
          </w:p>
        </w:tc>
        <w:tc>
          <w:tcPr>
            <w:tcW w:w="2864" w:type="dxa"/>
            <w:noWrap w:val="0"/>
            <w:vAlign w:val="center"/>
          </w:tcPr>
          <w:p w14:paraId="3A86DF23">
            <w:pPr>
              <w:widowControl/>
              <w:spacing w:line="320" w:lineRule="exact"/>
              <w:jc w:val="center"/>
              <w:rPr>
                <w:rFonts w:ascii="仿宋" w:hAnsi="仿宋" w:eastAsia="仿宋" w:cs="宋体"/>
                <w:color w:val="FF0000"/>
                <w:sz w:val="24"/>
              </w:rPr>
            </w:pPr>
          </w:p>
        </w:tc>
      </w:tr>
      <w:tr w14:paraId="16C2F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8" w:hRule="atLeast"/>
          <w:jc w:val="center"/>
        </w:trPr>
        <w:tc>
          <w:tcPr>
            <w:tcW w:w="716" w:type="dxa"/>
            <w:noWrap w:val="0"/>
            <w:vAlign w:val="center"/>
          </w:tcPr>
          <w:p w14:paraId="1B34A1CF">
            <w:pPr>
              <w:widowControl/>
              <w:spacing w:line="320" w:lineRule="exact"/>
              <w:jc w:val="center"/>
              <w:rPr>
                <w:rFonts w:hint="eastAsia" w:ascii="仿宋" w:hAnsi="仿宋" w:eastAsia="仿宋" w:cs="宋体"/>
                <w:color w:val="000000" w:themeColor="text1"/>
                <w:sz w:val="24"/>
                <w:lang w:val="en-US" w:eastAsia="zh-CN"/>
                <w14:textFill>
                  <w14:solidFill>
                    <w14:schemeClr w14:val="tx1"/>
                  </w14:solidFill>
                </w14:textFill>
              </w:rPr>
            </w:pPr>
            <w:r>
              <w:rPr>
                <w:rFonts w:hint="eastAsia" w:ascii="仿宋" w:hAnsi="仿宋" w:eastAsia="仿宋" w:cs="宋体"/>
                <w:color w:val="000000" w:themeColor="text1"/>
                <w:sz w:val="24"/>
                <w:lang w:val="en-US" w:eastAsia="zh-CN"/>
                <w14:textFill>
                  <w14:solidFill>
                    <w14:schemeClr w14:val="tx1"/>
                  </w14:solidFill>
                </w14:textFill>
              </w:rPr>
              <w:t>2</w:t>
            </w:r>
          </w:p>
        </w:tc>
        <w:tc>
          <w:tcPr>
            <w:tcW w:w="1418" w:type="dxa"/>
            <w:vMerge w:val="continue"/>
            <w:noWrap w:val="0"/>
            <w:vAlign w:val="center"/>
          </w:tcPr>
          <w:p w14:paraId="4E1BE41F">
            <w:pPr>
              <w:widowControl/>
              <w:spacing w:line="320" w:lineRule="exact"/>
              <w:jc w:val="center"/>
              <w:rPr>
                <w:rFonts w:hint="eastAsia" w:ascii="仿宋" w:hAnsi="仿宋" w:eastAsia="仿宋" w:cs="宋体"/>
                <w:color w:val="FF0000"/>
                <w:sz w:val="24"/>
                <w:lang w:val="en-US" w:eastAsia="zh-CN"/>
              </w:rPr>
            </w:pPr>
          </w:p>
        </w:tc>
        <w:tc>
          <w:tcPr>
            <w:tcW w:w="1958" w:type="dxa"/>
            <w:noWrap w:val="0"/>
            <w:vAlign w:val="center"/>
          </w:tcPr>
          <w:p w14:paraId="252BBD2D">
            <w:pPr>
              <w:widowControl/>
              <w:spacing w:line="320" w:lineRule="exact"/>
              <w:jc w:val="center"/>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形势任务教育</w:t>
            </w:r>
          </w:p>
        </w:tc>
        <w:tc>
          <w:tcPr>
            <w:tcW w:w="850" w:type="dxa"/>
            <w:noWrap w:val="0"/>
            <w:vAlign w:val="center"/>
          </w:tcPr>
          <w:p w14:paraId="42E25FF9">
            <w:pPr>
              <w:widowControl/>
              <w:spacing w:line="320" w:lineRule="exact"/>
              <w:jc w:val="center"/>
              <w:rPr>
                <w:rFonts w:ascii="仿宋" w:hAnsi="仿宋" w:eastAsia="仿宋" w:cs="宋体"/>
                <w:color w:val="FF0000"/>
                <w:sz w:val="24"/>
              </w:rPr>
            </w:pPr>
          </w:p>
        </w:tc>
        <w:tc>
          <w:tcPr>
            <w:tcW w:w="728" w:type="dxa"/>
            <w:noWrap w:val="0"/>
            <w:vAlign w:val="center"/>
          </w:tcPr>
          <w:p w14:paraId="4449BE58">
            <w:pPr>
              <w:widowControl/>
              <w:spacing w:line="320" w:lineRule="exact"/>
              <w:jc w:val="center"/>
              <w:rPr>
                <w:rFonts w:ascii="仿宋" w:hAnsi="仿宋" w:eastAsia="仿宋" w:cs="宋体"/>
                <w:color w:val="FF0000"/>
                <w:sz w:val="24"/>
              </w:rPr>
            </w:pPr>
          </w:p>
        </w:tc>
        <w:tc>
          <w:tcPr>
            <w:tcW w:w="709" w:type="dxa"/>
            <w:noWrap w:val="0"/>
            <w:vAlign w:val="center"/>
          </w:tcPr>
          <w:p w14:paraId="42A295D9">
            <w:pPr>
              <w:widowControl/>
              <w:spacing w:line="320" w:lineRule="exact"/>
              <w:jc w:val="center"/>
              <w:rPr>
                <w:rFonts w:ascii="仿宋" w:hAnsi="仿宋" w:eastAsia="仿宋" w:cs="宋体"/>
                <w:color w:val="FF0000"/>
                <w:sz w:val="24"/>
              </w:rPr>
            </w:pPr>
          </w:p>
        </w:tc>
        <w:tc>
          <w:tcPr>
            <w:tcW w:w="2864" w:type="dxa"/>
            <w:noWrap w:val="0"/>
            <w:vAlign w:val="center"/>
          </w:tcPr>
          <w:p w14:paraId="1D18DCE1">
            <w:pPr>
              <w:widowControl/>
              <w:spacing w:line="320" w:lineRule="exact"/>
              <w:jc w:val="center"/>
              <w:rPr>
                <w:rFonts w:ascii="仿宋" w:hAnsi="仿宋" w:eastAsia="仿宋" w:cs="宋体"/>
                <w:color w:val="FF0000"/>
                <w:sz w:val="24"/>
              </w:rPr>
            </w:pPr>
          </w:p>
        </w:tc>
      </w:tr>
      <w:tr w14:paraId="517AA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1" w:hRule="atLeast"/>
          <w:jc w:val="center"/>
        </w:trPr>
        <w:tc>
          <w:tcPr>
            <w:tcW w:w="716" w:type="dxa"/>
            <w:noWrap w:val="0"/>
            <w:vAlign w:val="center"/>
          </w:tcPr>
          <w:p w14:paraId="65D3E1AE">
            <w:pPr>
              <w:widowControl/>
              <w:spacing w:line="320" w:lineRule="exact"/>
              <w:jc w:val="center"/>
              <w:rPr>
                <w:rFonts w:hint="eastAsia" w:ascii="仿宋" w:hAnsi="仿宋" w:eastAsia="仿宋" w:cs="宋体"/>
                <w:color w:val="auto"/>
                <w:sz w:val="24"/>
                <w:lang w:val="en-US" w:eastAsia="zh-CN"/>
              </w:rPr>
            </w:pPr>
            <w:r>
              <w:rPr>
                <w:rFonts w:hint="eastAsia" w:ascii="仿宋" w:hAnsi="仿宋" w:eastAsia="仿宋" w:cs="宋体"/>
                <w:color w:val="auto"/>
                <w:sz w:val="24"/>
                <w:lang w:val="en-US" w:eastAsia="zh-CN"/>
              </w:rPr>
              <w:t>3</w:t>
            </w:r>
          </w:p>
        </w:tc>
        <w:tc>
          <w:tcPr>
            <w:tcW w:w="1418" w:type="dxa"/>
            <w:vMerge w:val="restart"/>
            <w:noWrap w:val="0"/>
            <w:vAlign w:val="center"/>
          </w:tcPr>
          <w:p w14:paraId="729F10BF">
            <w:pPr>
              <w:widowControl/>
              <w:spacing w:line="320" w:lineRule="exact"/>
              <w:jc w:val="center"/>
              <w:rPr>
                <w:rFonts w:hint="default" w:ascii="仿宋" w:hAnsi="仿宋" w:eastAsia="仿宋" w:cs="宋体"/>
                <w:color w:val="auto"/>
                <w:sz w:val="24"/>
                <w:lang w:val="en-US" w:eastAsia="zh-CN"/>
              </w:rPr>
            </w:pPr>
            <w:r>
              <w:rPr>
                <w:rFonts w:hint="eastAsia" w:ascii="仿宋" w:hAnsi="仿宋" w:eastAsia="仿宋" w:cs="宋体"/>
                <w:color w:val="auto"/>
                <w:sz w:val="24"/>
                <w:lang w:val="en-US" w:eastAsia="zh-CN"/>
              </w:rPr>
              <w:t>青年服务</w:t>
            </w:r>
          </w:p>
        </w:tc>
        <w:tc>
          <w:tcPr>
            <w:tcW w:w="1958" w:type="dxa"/>
            <w:noWrap w:val="0"/>
            <w:vAlign w:val="center"/>
          </w:tcPr>
          <w:p w14:paraId="70D298EF">
            <w:pPr>
              <w:widowControl/>
              <w:spacing w:line="320" w:lineRule="exact"/>
              <w:jc w:val="center"/>
              <w:rPr>
                <w:rFonts w:ascii="仿宋" w:hAnsi="仿宋" w:eastAsia="仿宋" w:cs="宋体"/>
                <w:b/>
                <w:color w:val="auto"/>
                <w:sz w:val="24"/>
              </w:rPr>
            </w:pPr>
            <w:r>
              <w:rPr>
                <w:rFonts w:hint="eastAsia" w:ascii="仿宋" w:hAnsi="仿宋" w:eastAsia="仿宋" w:cs="宋体"/>
                <w:color w:val="auto"/>
                <w:sz w:val="24"/>
              </w:rPr>
              <w:t>节日慰问</w:t>
            </w:r>
          </w:p>
        </w:tc>
        <w:tc>
          <w:tcPr>
            <w:tcW w:w="850" w:type="dxa"/>
            <w:noWrap w:val="0"/>
            <w:vAlign w:val="center"/>
          </w:tcPr>
          <w:p w14:paraId="0E6BFFBF">
            <w:pPr>
              <w:widowControl/>
              <w:spacing w:line="320" w:lineRule="exact"/>
              <w:jc w:val="center"/>
              <w:rPr>
                <w:rFonts w:ascii="仿宋" w:hAnsi="仿宋" w:eastAsia="仿宋" w:cs="宋体"/>
                <w:color w:val="auto"/>
                <w:sz w:val="24"/>
              </w:rPr>
            </w:pPr>
          </w:p>
        </w:tc>
        <w:tc>
          <w:tcPr>
            <w:tcW w:w="728" w:type="dxa"/>
            <w:noWrap w:val="0"/>
            <w:vAlign w:val="center"/>
          </w:tcPr>
          <w:p w14:paraId="0D050659">
            <w:pPr>
              <w:widowControl/>
              <w:spacing w:line="320" w:lineRule="exact"/>
              <w:jc w:val="center"/>
              <w:rPr>
                <w:rFonts w:ascii="仿宋" w:hAnsi="仿宋" w:eastAsia="仿宋" w:cs="宋体"/>
                <w:color w:val="auto"/>
                <w:sz w:val="24"/>
              </w:rPr>
            </w:pPr>
          </w:p>
        </w:tc>
        <w:tc>
          <w:tcPr>
            <w:tcW w:w="709" w:type="dxa"/>
            <w:noWrap w:val="0"/>
            <w:vAlign w:val="center"/>
          </w:tcPr>
          <w:p w14:paraId="0052CD0F">
            <w:pPr>
              <w:widowControl/>
              <w:spacing w:line="320" w:lineRule="exact"/>
              <w:jc w:val="center"/>
              <w:rPr>
                <w:rFonts w:ascii="仿宋" w:hAnsi="仿宋" w:eastAsia="仿宋" w:cs="宋体"/>
                <w:color w:val="auto"/>
                <w:sz w:val="24"/>
              </w:rPr>
            </w:pPr>
          </w:p>
        </w:tc>
        <w:tc>
          <w:tcPr>
            <w:tcW w:w="2864" w:type="dxa"/>
            <w:noWrap w:val="0"/>
            <w:vAlign w:val="center"/>
          </w:tcPr>
          <w:p w14:paraId="26DB4BC7">
            <w:pPr>
              <w:widowControl/>
              <w:spacing w:line="320" w:lineRule="exact"/>
              <w:jc w:val="center"/>
              <w:rPr>
                <w:rFonts w:ascii="仿宋" w:hAnsi="仿宋" w:eastAsia="仿宋" w:cs="宋体"/>
                <w:color w:val="auto"/>
                <w:sz w:val="24"/>
              </w:rPr>
            </w:pPr>
          </w:p>
        </w:tc>
      </w:tr>
      <w:tr w14:paraId="788D1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1" w:hRule="atLeast"/>
          <w:jc w:val="center"/>
        </w:trPr>
        <w:tc>
          <w:tcPr>
            <w:tcW w:w="716" w:type="dxa"/>
            <w:noWrap w:val="0"/>
            <w:vAlign w:val="center"/>
          </w:tcPr>
          <w:p w14:paraId="4F9272FE">
            <w:pPr>
              <w:widowControl/>
              <w:spacing w:line="320" w:lineRule="exact"/>
              <w:jc w:val="center"/>
              <w:rPr>
                <w:rFonts w:hint="eastAsia" w:ascii="仿宋" w:hAnsi="仿宋" w:eastAsia="仿宋" w:cs="宋体"/>
                <w:color w:val="auto"/>
                <w:sz w:val="24"/>
                <w:lang w:val="en-US" w:eastAsia="zh-CN"/>
              </w:rPr>
            </w:pPr>
            <w:r>
              <w:rPr>
                <w:rFonts w:hint="eastAsia" w:ascii="仿宋" w:hAnsi="仿宋" w:eastAsia="仿宋" w:cs="宋体"/>
                <w:color w:val="auto"/>
                <w:sz w:val="24"/>
                <w:lang w:val="en-US" w:eastAsia="zh-CN"/>
              </w:rPr>
              <w:t>4</w:t>
            </w:r>
          </w:p>
        </w:tc>
        <w:tc>
          <w:tcPr>
            <w:tcW w:w="1418" w:type="dxa"/>
            <w:vMerge w:val="continue"/>
            <w:noWrap w:val="0"/>
            <w:vAlign w:val="center"/>
          </w:tcPr>
          <w:p w14:paraId="28D5A5E2">
            <w:pPr>
              <w:widowControl/>
              <w:spacing w:line="320" w:lineRule="exact"/>
              <w:jc w:val="center"/>
              <w:rPr>
                <w:rFonts w:ascii="仿宋" w:hAnsi="仿宋" w:eastAsia="仿宋" w:cs="宋体"/>
                <w:color w:val="auto"/>
                <w:sz w:val="24"/>
              </w:rPr>
            </w:pPr>
          </w:p>
        </w:tc>
        <w:tc>
          <w:tcPr>
            <w:tcW w:w="1958" w:type="dxa"/>
            <w:noWrap w:val="0"/>
            <w:vAlign w:val="center"/>
          </w:tcPr>
          <w:p w14:paraId="28DB3EF4">
            <w:pPr>
              <w:widowControl/>
              <w:spacing w:line="320" w:lineRule="exact"/>
              <w:jc w:val="center"/>
              <w:rPr>
                <w:rFonts w:ascii="仿宋" w:hAnsi="仿宋" w:eastAsia="仿宋" w:cs="宋体"/>
                <w:bCs/>
                <w:color w:val="auto"/>
                <w:sz w:val="24"/>
              </w:rPr>
            </w:pPr>
            <w:r>
              <w:rPr>
                <w:rFonts w:hint="eastAsia" w:ascii="仿宋" w:hAnsi="仿宋" w:eastAsia="仿宋" w:cs="宋体"/>
                <w:bCs/>
                <w:color w:val="auto"/>
                <w:sz w:val="24"/>
              </w:rPr>
              <w:t>新员工入职</w:t>
            </w:r>
          </w:p>
        </w:tc>
        <w:tc>
          <w:tcPr>
            <w:tcW w:w="850" w:type="dxa"/>
            <w:noWrap w:val="0"/>
            <w:vAlign w:val="center"/>
          </w:tcPr>
          <w:p w14:paraId="7B3480F0">
            <w:pPr>
              <w:widowControl/>
              <w:spacing w:line="320" w:lineRule="exact"/>
              <w:jc w:val="center"/>
              <w:rPr>
                <w:rFonts w:ascii="仿宋" w:hAnsi="仿宋" w:eastAsia="仿宋" w:cs="宋体"/>
                <w:color w:val="auto"/>
                <w:sz w:val="24"/>
              </w:rPr>
            </w:pPr>
          </w:p>
        </w:tc>
        <w:tc>
          <w:tcPr>
            <w:tcW w:w="728" w:type="dxa"/>
            <w:noWrap w:val="0"/>
            <w:vAlign w:val="center"/>
          </w:tcPr>
          <w:p w14:paraId="67618B0B">
            <w:pPr>
              <w:widowControl/>
              <w:spacing w:line="320" w:lineRule="exact"/>
              <w:jc w:val="center"/>
              <w:rPr>
                <w:rFonts w:ascii="仿宋" w:hAnsi="仿宋" w:eastAsia="仿宋" w:cs="宋体"/>
                <w:color w:val="auto"/>
                <w:sz w:val="24"/>
              </w:rPr>
            </w:pPr>
          </w:p>
        </w:tc>
        <w:tc>
          <w:tcPr>
            <w:tcW w:w="709" w:type="dxa"/>
            <w:noWrap w:val="0"/>
            <w:vAlign w:val="center"/>
          </w:tcPr>
          <w:p w14:paraId="421C30AB">
            <w:pPr>
              <w:widowControl/>
              <w:spacing w:line="320" w:lineRule="exact"/>
              <w:jc w:val="center"/>
              <w:rPr>
                <w:rFonts w:ascii="仿宋" w:hAnsi="仿宋" w:eastAsia="仿宋" w:cs="宋体"/>
                <w:color w:val="auto"/>
                <w:sz w:val="24"/>
              </w:rPr>
            </w:pPr>
          </w:p>
        </w:tc>
        <w:tc>
          <w:tcPr>
            <w:tcW w:w="2864" w:type="dxa"/>
            <w:noWrap w:val="0"/>
            <w:vAlign w:val="center"/>
          </w:tcPr>
          <w:p w14:paraId="2E4D4B27">
            <w:pPr>
              <w:widowControl/>
              <w:spacing w:line="320" w:lineRule="exact"/>
              <w:jc w:val="center"/>
              <w:rPr>
                <w:rFonts w:hint="eastAsia" w:ascii="仿宋" w:hAnsi="仿宋" w:eastAsia="仿宋" w:cs="宋体"/>
                <w:color w:val="auto"/>
                <w:sz w:val="24"/>
              </w:rPr>
            </w:pPr>
            <w:r>
              <w:rPr>
                <w:rFonts w:hint="eastAsia" w:ascii="仿宋" w:hAnsi="仿宋" w:eastAsia="仿宋" w:cs="宋体"/>
                <w:color w:val="auto"/>
                <w:sz w:val="24"/>
              </w:rPr>
              <w:t>请注明：</w:t>
            </w:r>
          </w:p>
          <w:p w14:paraId="1F600552">
            <w:pPr>
              <w:widowControl/>
              <w:spacing w:line="320" w:lineRule="exact"/>
              <w:jc w:val="center"/>
              <w:rPr>
                <w:rFonts w:hint="eastAsia" w:ascii="仿宋" w:hAnsi="仿宋" w:eastAsia="仿宋" w:cs="宋体"/>
                <w:color w:val="auto"/>
                <w:sz w:val="24"/>
              </w:rPr>
            </w:pPr>
            <w:r>
              <w:rPr>
                <w:rFonts w:hint="eastAsia" w:ascii="仿宋" w:hAnsi="仿宋" w:eastAsia="仿宋" w:cs="宋体"/>
                <w:color w:val="auto"/>
                <w:sz w:val="24"/>
                <w:lang w:eastAsia="zh-CN"/>
              </w:rPr>
              <w:t>1.</w:t>
            </w:r>
            <w:r>
              <w:rPr>
                <w:rFonts w:hint="eastAsia" w:ascii="仿宋" w:hAnsi="仿宋" w:eastAsia="仿宋" w:cs="宋体"/>
                <w:color w:val="auto"/>
                <w:sz w:val="24"/>
              </w:rPr>
              <w:t>团课次数、参与人次</w:t>
            </w:r>
          </w:p>
          <w:p w14:paraId="7CF07FFD">
            <w:pPr>
              <w:widowControl/>
              <w:spacing w:line="320" w:lineRule="exact"/>
              <w:jc w:val="center"/>
              <w:rPr>
                <w:rFonts w:hint="eastAsia" w:ascii="仿宋" w:hAnsi="仿宋" w:eastAsia="仿宋" w:cs="宋体"/>
                <w:color w:val="auto"/>
                <w:sz w:val="24"/>
              </w:rPr>
            </w:pPr>
            <w:r>
              <w:rPr>
                <w:rFonts w:hint="eastAsia" w:ascii="仿宋" w:hAnsi="仿宋" w:eastAsia="仿宋" w:cs="宋体"/>
                <w:color w:val="auto"/>
                <w:sz w:val="24"/>
                <w:lang w:eastAsia="zh-CN"/>
              </w:rPr>
              <w:t>2.</w:t>
            </w:r>
            <w:r>
              <w:rPr>
                <w:rFonts w:hint="eastAsia" w:ascii="仿宋" w:hAnsi="仿宋" w:eastAsia="仿宋" w:cs="宋体"/>
                <w:color w:val="auto"/>
                <w:sz w:val="24"/>
              </w:rPr>
              <w:t>谈心次数、参与人次</w:t>
            </w:r>
          </w:p>
          <w:p w14:paraId="61B32CF4">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lang w:eastAsia="zh-CN"/>
              </w:rPr>
              <w:t>3.</w:t>
            </w:r>
            <w:r>
              <w:rPr>
                <w:rFonts w:hint="eastAsia" w:ascii="仿宋" w:hAnsi="仿宋" w:eastAsia="仿宋" w:cs="宋体"/>
                <w:color w:val="auto"/>
                <w:sz w:val="24"/>
              </w:rPr>
              <w:t>家书</w:t>
            </w:r>
            <w:r>
              <w:rPr>
                <w:rFonts w:hint="eastAsia" w:ascii="仿宋" w:hAnsi="仿宋" w:eastAsia="仿宋" w:cs="宋体"/>
                <w:color w:val="auto"/>
                <w:sz w:val="24"/>
                <w:lang w:val="en-US" w:eastAsia="zh-CN"/>
              </w:rPr>
              <w:t>数量</w:t>
            </w:r>
            <w:r>
              <w:rPr>
                <w:rFonts w:hint="eastAsia" w:ascii="仿宋" w:hAnsi="仿宋" w:eastAsia="仿宋" w:cs="宋体"/>
                <w:color w:val="auto"/>
                <w:sz w:val="24"/>
              </w:rPr>
              <w:t>、参与人次</w:t>
            </w:r>
          </w:p>
        </w:tc>
      </w:tr>
      <w:tr w14:paraId="55185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8" w:hRule="atLeast"/>
          <w:jc w:val="center"/>
        </w:trPr>
        <w:tc>
          <w:tcPr>
            <w:tcW w:w="716" w:type="dxa"/>
            <w:noWrap w:val="0"/>
            <w:vAlign w:val="center"/>
          </w:tcPr>
          <w:p w14:paraId="3C80066C">
            <w:pPr>
              <w:widowControl/>
              <w:spacing w:line="320" w:lineRule="exact"/>
              <w:jc w:val="center"/>
              <w:rPr>
                <w:rFonts w:hint="eastAsia" w:ascii="仿宋" w:hAnsi="仿宋" w:eastAsia="仿宋" w:cs="宋体"/>
                <w:color w:val="auto"/>
                <w:sz w:val="24"/>
                <w:lang w:val="en-US" w:eastAsia="zh-CN"/>
              </w:rPr>
            </w:pPr>
            <w:r>
              <w:rPr>
                <w:rFonts w:hint="eastAsia" w:ascii="仿宋" w:hAnsi="仿宋" w:eastAsia="仿宋" w:cs="宋体"/>
                <w:color w:val="auto"/>
                <w:sz w:val="24"/>
                <w:lang w:val="en-US" w:eastAsia="zh-CN"/>
              </w:rPr>
              <w:t>5</w:t>
            </w:r>
          </w:p>
        </w:tc>
        <w:tc>
          <w:tcPr>
            <w:tcW w:w="1418" w:type="dxa"/>
            <w:vMerge w:val="continue"/>
            <w:noWrap w:val="0"/>
            <w:vAlign w:val="center"/>
          </w:tcPr>
          <w:p w14:paraId="01608226">
            <w:pPr>
              <w:widowControl/>
              <w:spacing w:line="320" w:lineRule="exact"/>
              <w:jc w:val="center"/>
              <w:rPr>
                <w:rFonts w:ascii="仿宋" w:hAnsi="仿宋" w:eastAsia="仿宋" w:cs="宋体"/>
                <w:color w:val="auto"/>
                <w:sz w:val="24"/>
              </w:rPr>
            </w:pPr>
          </w:p>
        </w:tc>
        <w:tc>
          <w:tcPr>
            <w:tcW w:w="1958" w:type="dxa"/>
            <w:noWrap w:val="0"/>
            <w:vAlign w:val="center"/>
          </w:tcPr>
          <w:p w14:paraId="73F13BFE">
            <w:pPr>
              <w:widowControl/>
              <w:spacing w:line="320" w:lineRule="exact"/>
              <w:jc w:val="center"/>
              <w:rPr>
                <w:rFonts w:hint="eastAsia" w:ascii="仿宋" w:hAnsi="仿宋" w:eastAsia="仿宋" w:cs="宋体"/>
                <w:bCs/>
                <w:color w:val="auto"/>
                <w:sz w:val="24"/>
              </w:rPr>
            </w:pPr>
            <w:r>
              <w:rPr>
                <w:rFonts w:hint="eastAsia" w:ascii="仿宋" w:hAnsi="仿宋" w:eastAsia="仿宋" w:cs="宋体"/>
                <w:color w:val="auto"/>
                <w:sz w:val="24"/>
              </w:rPr>
              <w:t>带着国旗来上港</w:t>
            </w:r>
          </w:p>
        </w:tc>
        <w:tc>
          <w:tcPr>
            <w:tcW w:w="5151" w:type="dxa"/>
            <w:gridSpan w:val="4"/>
            <w:noWrap w:val="0"/>
            <w:vAlign w:val="center"/>
          </w:tcPr>
          <w:p w14:paraId="63CC97CA">
            <w:pPr>
              <w:widowControl/>
              <w:spacing w:line="320" w:lineRule="exact"/>
              <w:jc w:val="center"/>
              <w:rPr>
                <w:rFonts w:hint="eastAsia" w:ascii="仿宋" w:hAnsi="仿宋" w:eastAsia="仿宋" w:cs="宋体"/>
                <w:color w:val="auto"/>
                <w:sz w:val="24"/>
                <w:lang w:val="en-US" w:eastAsia="zh-CN"/>
              </w:rPr>
            </w:pPr>
            <w:r>
              <w:rPr>
                <w:rFonts w:hint="eastAsia" w:ascii="仿宋" w:hAnsi="仿宋" w:eastAsia="仿宋" w:cs="宋体"/>
                <w:color w:val="auto"/>
                <w:sz w:val="24"/>
              </w:rPr>
              <w:t>工作照投稿数</w:t>
            </w:r>
            <w:r>
              <w:rPr>
                <w:rFonts w:hint="eastAsia" w:ascii="仿宋" w:hAnsi="仿宋" w:eastAsia="仿宋" w:cs="宋体"/>
                <w:color w:val="auto"/>
                <w:sz w:val="24"/>
                <w:lang w:val="en-US" w:eastAsia="zh-CN"/>
              </w:rPr>
              <w:t>量</w:t>
            </w:r>
          </w:p>
        </w:tc>
      </w:tr>
      <w:tr w14:paraId="3454C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16" w:type="dxa"/>
            <w:noWrap w:val="0"/>
            <w:vAlign w:val="center"/>
          </w:tcPr>
          <w:p w14:paraId="677F9F64">
            <w:pPr>
              <w:widowControl/>
              <w:spacing w:line="320" w:lineRule="exact"/>
              <w:jc w:val="center"/>
              <w:rPr>
                <w:rFonts w:hint="default" w:ascii="仿宋" w:hAnsi="仿宋" w:eastAsia="仿宋" w:cs="宋体"/>
                <w:color w:val="auto"/>
                <w:sz w:val="24"/>
                <w:lang w:val="en-US" w:eastAsia="zh-CN"/>
              </w:rPr>
            </w:pPr>
            <w:r>
              <w:rPr>
                <w:rFonts w:hint="eastAsia" w:ascii="仿宋" w:hAnsi="仿宋" w:eastAsia="仿宋" w:cs="宋体"/>
                <w:color w:val="auto"/>
                <w:sz w:val="24"/>
                <w:lang w:val="en-US" w:eastAsia="zh-CN"/>
              </w:rPr>
              <w:t>6</w:t>
            </w:r>
          </w:p>
        </w:tc>
        <w:tc>
          <w:tcPr>
            <w:tcW w:w="1418" w:type="dxa"/>
            <w:noWrap w:val="0"/>
            <w:vAlign w:val="center"/>
          </w:tcPr>
          <w:p w14:paraId="672204E7">
            <w:pPr>
              <w:widowControl/>
              <w:spacing w:line="320" w:lineRule="exact"/>
              <w:jc w:val="center"/>
              <w:rPr>
                <w:rFonts w:hint="eastAsia" w:ascii="仿宋" w:hAnsi="仿宋" w:eastAsia="仿宋" w:cs="宋体"/>
                <w:color w:val="auto"/>
                <w:sz w:val="24"/>
              </w:rPr>
            </w:pPr>
            <w:r>
              <w:rPr>
                <w:rFonts w:hint="eastAsia" w:ascii="仿宋" w:hAnsi="仿宋" w:eastAsia="仿宋" w:cs="宋体"/>
                <w:color w:val="auto"/>
                <w:sz w:val="24"/>
              </w:rPr>
              <w:t>其他特色</w:t>
            </w:r>
          </w:p>
          <w:p w14:paraId="583D8773">
            <w:pPr>
              <w:widowControl/>
              <w:spacing w:line="320" w:lineRule="exact"/>
              <w:jc w:val="center"/>
              <w:rPr>
                <w:rFonts w:ascii="仿宋" w:hAnsi="仿宋" w:eastAsia="仿宋" w:cs="宋体"/>
                <w:color w:val="auto"/>
                <w:sz w:val="24"/>
              </w:rPr>
            </w:pPr>
            <w:r>
              <w:rPr>
                <w:rFonts w:hint="eastAsia" w:ascii="仿宋" w:hAnsi="仿宋" w:eastAsia="仿宋" w:cs="宋体"/>
                <w:color w:val="auto"/>
                <w:sz w:val="24"/>
              </w:rPr>
              <w:t>活动</w:t>
            </w:r>
          </w:p>
        </w:tc>
        <w:tc>
          <w:tcPr>
            <w:tcW w:w="7109" w:type="dxa"/>
            <w:gridSpan w:val="5"/>
            <w:noWrap w:val="0"/>
            <w:vAlign w:val="center"/>
          </w:tcPr>
          <w:p w14:paraId="510557D3">
            <w:pPr>
              <w:widowControl/>
              <w:spacing w:line="320" w:lineRule="exact"/>
              <w:jc w:val="left"/>
              <w:rPr>
                <w:rFonts w:hint="eastAsia" w:ascii="仿宋" w:hAnsi="仿宋" w:eastAsia="仿宋" w:cs="宋体"/>
                <w:color w:val="auto"/>
                <w:sz w:val="24"/>
              </w:rPr>
            </w:pPr>
          </w:p>
        </w:tc>
      </w:tr>
    </w:tbl>
    <w:p w14:paraId="16E40A7F">
      <w:pPr>
        <w:widowControl/>
        <w:spacing w:line="300" w:lineRule="exact"/>
        <w:rPr>
          <w:rFonts w:ascii="仿宋" w:hAnsi="仿宋" w:eastAsia="仿宋"/>
          <w:color w:val="auto"/>
        </w:rPr>
      </w:pPr>
      <w:r>
        <w:rPr>
          <w:rFonts w:hint="eastAsia" w:ascii="仿宋" w:hAnsi="仿宋" w:eastAsia="仿宋" w:cs="宋体"/>
          <w:color w:val="auto"/>
          <w:szCs w:val="21"/>
        </w:rPr>
        <w:t>注：该表可根据实际情况调整，并</w:t>
      </w:r>
      <w:r>
        <w:rPr>
          <w:rFonts w:hint="eastAsia" w:ascii="仿宋" w:hAnsi="仿宋" w:eastAsia="仿宋" w:cs="宋体"/>
          <w:color w:val="000000" w:themeColor="text1"/>
          <w:szCs w:val="21"/>
          <w14:textFill>
            <w14:solidFill>
              <w14:schemeClr w14:val="tx1"/>
            </w14:solidFill>
          </w14:textFill>
        </w:rPr>
        <w:t>请在1</w:t>
      </w:r>
      <w:r>
        <w:rPr>
          <w:rFonts w:hint="eastAsia" w:ascii="仿宋" w:hAnsi="仿宋" w:eastAsia="仿宋" w:cs="宋体"/>
          <w:color w:val="000000" w:themeColor="text1"/>
          <w:szCs w:val="21"/>
          <w:lang w:val="en-US" w:eastAsia="zh-CN"/>
          <w14:textFill>
            <w14:solidFill>
              <w14:schemeClr w14:val="tx1"/>
            </w14:solidFill>
          </w14:textFill>
        </w:rPr>
        <w:t>1</w:t>
      </w:r>
      <w:r>
        <w:rPr>
          <w:rFonts w:hint="eastAsia" w:ascii="仿宋" w:hAnsi="仿宋" w:eastAsia="仿宋" w:cs="宋体"/>
          <w:color w:val="000000" w:themeColor="text1"/>
          <w:szCs w:val="21"/>
          <w14:textFill>
            <w14:solidFill>
              <w14:schemeClr w14:val="tx1"/>
            </w14:solidFill>
          </w14:textFill>
        </w:rPr>
        <w:t>月</w:t>
      </w:r>
      <w:r>
        <w:rPr>
          <w:rFonts w:hint="eastAsia" w:ascii="仿宋" w:hAnsi="仿宋" w:eastAsia="仿宋" w:cs="宋体"/>
          <w:color w:val="000000" w:themeColor="text1"/>
          <w:szCs w:val="21"/>
          <w:lang w:val="en-US" w:eastAsia="zh-CN"/>
          <w14:textFill>
            <w14:solidFill>
              <w14:schemeClr w14:val="tx1"/>
            </w14:solidFill>
          </w14:textFill>
        </w:rPr>
        <w:t>4</w:t>
      </w:r>
      <w:r>
        <w:rPr>
          <w:rFonts w:hint="eastAsia" w:ascii="仿宋" w:hAnsi="仿宋" w:eastAsia="仿宋" w:cs="宋体"/>
          <w:color w:val="000000" w:themeColor="text1"/>
          <w:szCs w:val="21"/>
          <w14:textFill>
            <w14:solidFill>
              <w14:schemeClr w14:val="tx1"/>
            </w14:solidFill>
          </w14:textFill>
        </w:rPr>
        <w:t>日前</w:t>
      </w:r>
      <w:r>
        <w:rPr>
          <w:rFonts w:hint="eastAsia" w:ascii="仿宋" w:hAnsi="仿宋" w:eastAsia="仿宋" w:cs="宋体"/>
          <w:color w:val="auto"/>
          <w:szCs w:val="21"/>
        </w:rPr>
        <w:t>与活动总结一并交集团团委，</w:t>
      </w:r>
      <w:r>
        <w:rPr>
          <w:rFonts w:hint="eastAsia" w:ascii="仿宋" w:hAnsi="仿宋" w:eastAsia="仿宋"/>
          <w:color w:val="auto"/>
        </w:rPr>
        <w:t>电子版发至</w:t>
      </w:r>
      <w:r>
        <w:rPr>
          <w:rFonts w:hint="eastAsia" w:ascii="仿宋" w:hAnsi="仿宋" w:eastAsia="仿宋" w:cs="宋体"/>
          <w:color w:val="auto"/>
          <w:szCs w:val="21"/>
        </w:rPr>
        <w:t>sipgtw@portshanghai.com.cn。</w:t>
      </w:r>
    </w:p>
    <w:p w14:paraId="4039DF36">
      <w:pPr>
        <w:widowControl/>
        <w:spacing w:line="540" w:lineRule="exact"/>
        <w:rPr>
          <w:rFonts w:hint="eastAsia" w:ascii="仿宋" w:hAnsi="仿宋" w:eastAsia="仿宋"/>
          <w:color w:val="auto"/>
          <w:sz w:val="32"/>
          <w:szCs w:val="32"/>
        </w:rPr>
      </w:pPr>
      <w:r>
        <w:rPr>
          <w:rFonts w:ascii="仿宋" w:hAnsi="仿宋" w:eastAsia="仿宋"/>
          <w:color w:val="auto"/>
        </w:rPr>
        <w:br w:type="page"/>
      </w:r>
      <w:r>
        <w:rPr>
          <w:rFonts w:hint="eastAsia" w:ascii="仿宋" w:hAnsi="仿宋" w:eastAsia="仿宋"/>
          <w:color w:val="auto"/>
          <w:sz w:val="32"/>
          <w:szCs w:val="32"/>
        </w:rPr>
        <w:t>附件</w:t>
      </w:r>
      <w:r>
        <w:rPr>
          <w:rFonts w:ascii="仿宋" w:hAnsi="仿宋" w:eastAsia="仿宋"/>
          <w:color w:val="auto"/>
          <w:sz w:val="32"/>
          <w:szCs w:val="32"/>
        </w:rPr>
        <w:t>2</w:t>
      </w:r>
      <w:r>
        <w:rPr>
          <w:rFonts w:hint="eastAsia" w:ascii="仿宋" w:hAnsi="仿宋" w:eastAsia="仿宋"/>
          <w:color w:val="auto"/>
          <w:sz w:val="32"/>
          <w:szCs w:val="32"/>
        </w:rPr>
        <w:t>：</w:t>
      </w:r>
    </w:p>
    <w:p w14:paraId="6FCA4461">
      <w:pPr>
        <w:widowControl/>
        <w:spacing w:before="240" w:after="312" w:afterLines="100" w:line="536" w:lineRule="exact"/>
        <w:jc w:val="center"/>
        <w:rPr>
          <w:rFonts w:ascii="仿宋" w:hAnsi="仿宋" w:eastAsia="仿宋" w:cs="宋体"/>
          <w:color w:val="auto"/>
          <w:sz w:val="32"/>
          <w:szCs w:val="32"/>
        </w:rPr>
      </w:pPr>
      <w:r>
        <w:rPr>
          <w:rFonts w:hint="eastAsia" w:ascii="仿宋" w:hAnsi="仿宋" w:eastAsia="仿宋" w:cs="宋体"/>
          <w:color w:val="auto"/>
          <w:sz w:val="32"/>
          <w:szCs w:val="32"/>
        </w:rPr>
        <w:t>第十</w:t>
      </w:r>
      <w:r>
        <w:rPr>
          <w:rFonts w:hint="eastAsia" w:ascii="仿宋" w:hAnsi="仿宋" w:eastAsia="仿宋" w:cs="宋体"/>
          <w:color w:val="auto"/>
          <w:sz w:val="32"/>
          <w:szCs w:val="32"/>
          <w:lang w:val="en-US" w:eastAsia="zh-CN"/>
        </w:rPr>
        <w:t>九</w:t>
      </w:r>
      <w:r>
        <w:rPr>
          <w:rFonts w:hint="eastAsia" w:ascii="仿宋" w:hAnsi="仿宋" w:eastAsia="仿宋" w:cs="宋体"/>
          <w:color w:val="auto"/>
          <w:sz w:val="32"/>
          <w:szCs w:val="32"/>
        </w:rPr>
        <w:t>次增强团员意识主题教育月上报材料提示表</w:t>
      </w:r>
    </w:p>
    <w:tbl>
      <w:tblPr>
        <w:tblStyle w:val="16"/>
        <w:tblW w:w="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5387"/>
        <w:gridCol w:w="2268"/>
      </w:tblGrid>
      <w:tr w14:paraId="4EB5C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25" w:hRule="atLeast"/>
        </w:trPr>
        <w:tc>
          <w:tcPr>
            <w:tcW w:w="1384" w:type="dxa"/>
            <w:noWrap w:val="0"/>
            <w:vAlign w:val="top"/>
          </w:tcPr>
          <w:p w14:paraId="1E2C3163">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序号</w:t>
            </w:r>
          </w:p>
        </w:tc>
        <w:tc>
          <w:tcPr>
            <w:tcW w:w="5387" w:type="dxa"/>
            <w:noWrap w:val="0"/>
            <w:vAlign w:val="top"/>
          </w:tcPr>
          <w:p w14:paraId="13361367">
            <w:pPr>
              <w:widowControl/>
              <w:spacing w:before="240" w:after="312" w:afterLines="100" w:line="536" w:lineRule="exact"/>
              <w:jc w:val="center"/>
              <w:rPr>
                <w:rFonts w:hint="eastAsia" w:ascii="仿宋" w:hAnsi="仿宋" w:eastAsia="仿宋" w:cs="宋体"/>
                <w:color w:val="auto"/>
                <w:sz w:val="28"/>
                <w:szCs w:val="28"/>
              </w:rPr>
            </w:pPr>
            <w:r>
              <w:rPr>
                <w:rFonts w:hint="eastAsia" w:ascii="仿宋" w:hAnsi="仿宋" w:eastAsia="仿宋" w:cs="宋体"/>
                <w:color w:val="auto"/>
                <w:sz w:val="28"/>
                <w:szCs w:val="28"/>
              </w:rPr>
              <w:t>工作内容</w:t>
            </w:r>
          </w:p>
        </w:tc>
        <w:tc>
          <w:tcPr>
            <w:tcW w:w="2268" w:type="dxa"/>
            <w:noWrap w:val="0"/>
            <w:vAlign w:val="top"/>
          </w:tcPr>
          <w:p w14:paraId="485351B2">
            <w:pPr>
              <w:widowControl/>
              <w:spacing w:before="240" w:after="312" w:afterLines="100" w:line="536" w:lineRule="exact"/>
              <w:jc w:val="center"/>
              <w:rPr>
                <w:rFonts w:ascii="仿宋" w:hAnsi="仿宋" w:eastAsia="仿宋" w:cs="宋体"/>
                <w:color w:val="FF0000"/>
                <w:sz w:val="28"/>
                <w:szCs w:val="28"/>
              </w:rPr>
            </w:pPr>
            <w:r>
              <w:rPr>
                <w:rFonts w:hint="eastAsia" w:ascii="仿宋" w:hAnsi="仿宋" w:eastAsia="仿宋" w:cs="宋体"/>
                <w:color w:val="auto"/>
                <w:sz w:val="28"/>
                <w:szCs w:val="28"/>
              </w:rPr>
              <w:t>截止时间</w:t>
            </w:r>
          </w:p>
        </w:tc>
      </w:tr>
      <w:tr w14:paraId="3B064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1384" w:type="dxa"/>
            <w:noWrap w:val="0"/>
            <w:vAlign w:val="center"/>
          </w:tcPr>
          <w:p w14:paraId="1E28766F">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1</w:t>
            </w:r>
          </w:p>
        </w:tc>
        <w:tc>
          <w:tcPr>
            <w:tcW w:w="5387" w:type="dxa"/>
            <w:noWrap w:val="0"/>
            <w:vAlign w:val="center"/>
          </w:tcPr>
          <w:p w14:paraId="6EED3ED0">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一封家书优秀稿件征集</w:t>
            </w:r>
          </w:p>
        </w:tc>
        <w:tc>
          <w:tcPr>
            <w:tcW w:w="2268" w:type="dxa"/>
            <w:noWrap w:val="0"/>
            <w:vAlign w:val="center"/>
          </w:tcPr>
          <w:p w14:paraId="3B61309E">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9月2</w:t>
            </w:r>
            <w:r>
              <w:rPr>
                <w:rFonts w:hint="eastAsia" w:ascii="仿宋" w:hAnsi="仿宋" w:eastAsia="仿宋" w:cs="宋体"/>
                <w:color w:val="auto"/>
                <w:sz w:val="28"/>
                <w:szCs w:val="28"/>
                <w:lang w:val="en-US" w:eastAsia="zh-CN"/>
              </w:rPr>
              <w:t>1</w:t>
            </w:r>
            <w:r>
              <w:rPr>
                <w:rFonts w:hint="eastAsia" w:ascii="仿宋" w:hAnsi="仿宋" w:eastAsia="仿宋" w:cs="宋体"/>
                <w:color w:val="auto"/>
                <w:sz w:val="28"/>
                <w:szCs w:val="28"/>
              </w:rPr>
              <w:t>日前</w:t>
            </w:r>
          </w:p>
        </w:tc>
      </w:tr>
      <w:tr w14:paraId="636D1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1384" w:type="dxa"/>
            <w:noWrap w:val="0"/>
            <w:vAlign w:val="center"/>
          </w:tcPr>
          <w:p w14:paraId="29CDD680">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2</w:t>
            </w:r>
          </w:p>
        </w:tc>
        <w:tc>
          <w:tcPr>
            <w:tcW w:w="5387" w:type="dxa"/>
            <w:noWrap w:val="0"/>
            <w:vAlign w:val="center"/>
          </w:tcPr>
          <w:p w14:paraId="40CAFE57">
            <w:pPr>
              <w:widowControl/>
              <w:spacing w:before="240" w:after="312" w:afterLines="100" w:line="536" w:lineRule="exact"/>
              <w:jc w:val="center"/>
              <w:rPr>
                <w:rFonts w:hint="eastAsia" w:ascii="仿宋" w:hAnsi="仿宋" w:eastAsia="仿宋" w:cs="宋体"/>
                <w:color w:val="auto"/>
                <w:sz w:val="28"/>
                <w:szCs w:val="28"/>
              </w:rPr>
            </w:pPr>
            <w:r>
              <w:rPr>
                <w:rFonts w:hint="eastAsia" w:ascii="仿宋" w:hAnsi="仿宋" w:eastAsia="仿宋" w:cs="宋体"/>
                <w:color w:val="auto"/>
                <w:sz w:val="28"/>
                <w:szCs w:val="28"/>
              </w:rPr>
              <w:t>“带着国旗来上港”工作照征集</w:t>
            </w:r>
          </w:p>
        </w:tc>
        <w:tc>
          <w:tcPr>
            <w:tcW w:w="2268" w:type="dxa"/>
            <w:noWrap w:val="0"/>
            <w:vAlign w:val="center"/>
          </w:tcPr>
          <w:p w14:paraId="672CB541">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9月</w:t>
            </w:r>
            <w:r>
              <w:rPr>
                <w:rFonts w:ascii="仿宋" w:hAnsi="仿宋" w:eastAsia="仿宋" w:cs="宋体"/>
                <w:color w:val="auto"/>
                <w:sz w:val="28"/>
                <w:szCs w:val="28"/>
              </w:rPr>
              <w:t>2</w:t>
            </w:r>
            <w:r>
              <w:rPr>
                <w:rFonts w:hint="eastAsia" w:ascii="仿宋" w:hAnsi="仿宋" w:eastAsia="仿宋" w:cs="宋体"/>
                <w:color w:val="auto"/>
                <w:sz w:val="28"/>
                <w:szCs w:val="28"/>
                <w:lang w:val="en-US" w:eastAsia="zh-CN"/>
              </w:rPr>
              <w:t>8</w:t>
            </w:r>
            <w:r>
              <w:rPr>
                <w:rFonts w:hint="eastAsia" w:ascii="仿宋" w:hAnsi="仿宋" w:eastAsia="仿宋" w:cs="宋体"/>
                <w:color w:val="auto"/>
                <w:sz w:val="28"/>
                <w:szCs w:val="28"/>
              </w:rPr>
              <w:t>日前</w:t>
            </w:r>
          </w:p>
        </w:tc>
      </w:tr>
      <w:tr w14:paraId="70771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1384" w:type="dxa"/>
            <w:noWrap w:val="0"/>
            <w:vAlign w:val="center"/>
          </w:tcPr>
          <w:p w14:paraId="1640BC9A">
            <w:pPr>
              <w:widowControl/>
              <w:spacing w:before="240" w:after="312" w:afterLines="100" w:line="536" w:lineRule="exact"/>
              <w:jc w:val="center"/>
              <w:rPr>
                <w:rFonts w:ascii="仿宋" w:hAnsi="仿宋" w:eastAsia="仿宋" w:cs="宋体"/>
                <w:color w:val="auto"/>
                <w:sz w:val="28"/>
                <w:szCs w:val="28"/>
              </w:rPr>
            </w:pPr>
            <w:r>
              <w:rPr>
                <w:rFonts w:hint="eastAsia" w:ascii="仿宋" w:hAnsi="仿宋" w:eastAsia="仿宋" w:cs="宋体"/>
                <w:color w:val="auto"/>
                <w:sz w:val="28"/>
                <w:szCs w:val="28"/>
              </w:rPr>
              <w:t>3</w:t>
            </w:r>
          </w:p>
        </w:tc>
        <w:tc>
          <w:tcPr>
            <w:tcW w:w="5387" w:type="dxa"/>
            <w:noWrap w:val="0"/>
            <w:vAlign w:val="center"/>
          </w:tcPr>
          <w:p w14:paraId="1BF87FE7">
            <w:pPr>
              <w:widowControl/>
              <w:spacing w:before="240" w:after="312" w:afterLines="100" w:line="536" w:lineRule="exact"/>
              <w:jc w:val="center"/>
              <w:rPr>
                <w:rFonts w:hint="eastAsia" w:ascii="仿宋" w:hAnsi="仿宋" w:eastAsia="仿宋" w:cs="宋体"/>
                <w:color w:val="000000" w:themeColor="text1"/>
                <w:sz w:val="28"/>
                <w:szCs w:val="28"/>
                <w:lang w:eastAsia="zh-CN"/>
                <w14:textFill>
                  <w14:solidFill>
                    <w14:schemeClr w14:val="tx1"/>
                  </w14:solidFill>
                </w14:textFill>
              </w:rPr>
            </w:pPr>
            <w:r>
              <w:rPr>
                <w:rFonts w:hint="eastAsia" w:ascii="仿宋" w:hAnsi="仿宋" w:eastAsia="仿宋" w:cs="宋体"/>
                <w:color w:val="000000" w:themeColor="text1"/>
                <w:sz w:val="28"/>
                <w:szCs w:val="28"/>
                <w14:textFill>
                  <w14:solidFill>
                    <w14:schemeClr w14:val="tx1"/>
                  </w14:solidFill>
                </w14:textFill>
              </w:rPr>
              <w:t>第十</w:t>
            </w:r>
            <w:r>
              <w:rPr>
                <w:rFonts w:hint="eastAsia" w:ascii="仿宋" w:hAnsi="仿宋" w:eastAsia="仿宋" w:cs="宋体"/>
                <w:color w:val="000000" w:themeColor="text1"/>
                <w:sz w:val="28"/>
                <w:szCs w:val="28"/>
                <w:lang w:val="en-US" w:eastAsia="zh-CN"/>
                <w14:textFill>
                  <w14:solidFill>
                    <w14:schemeClr w14:val="tx1"/>
                  </w14:solidFill>
                </w14:textFill>
              </w:rPr>
              <w:t>九</w:t>
            </w:r>
            <w:r>
              <w:rPr>
                <w:rFonts w:hint="eastAsia" w:ascii="仿宋" w:hAnsi="仿宋" w:eastAsia="仿宋" w:cs="宋体"/>
                <w:color w:val="000000" w:themeColor="text1"/>
                <w:sz w:val="28"/>
                <w:szCs w:val="28"/>
                <w14:textFill>
                  <w14:solidFill>
                    <w14:schemeClr w14:val="tx1"/>
                  </w14:solidFill>
                </w14:textFill>
              </w:rPr>
              <w:t>次团员意识主题教育月活动总结</w:t>
            </w:r>
            <w:r>
              <w:rPr>
                <w:rFonts w:hint="eastAsia" w:ascii="仿宋" w:hAnsi="仿宋" w:eastAsia="仿宋" w:cs="宋体"/>
                <w:color w:val="000000" w:themeColor="text1"/>
                <w:sz w:val="28"/>
                <w:szCs w:val="28"/>
                <w:lang w:eastAsia="zh-CN"/>
                <w14:textFill>
                  <w14:solidFill>
                    <w14:schemeClr w14:val="tx1"/>
                  </w14:solidFill>
                </w14:textFill>
              </w:rPr>
              <w:t>、</w:t>
            </w:r>
            <w:r>
              <w:rPr>
                <w:rFonts w:hint="eastAsia" w:ascii="仿宋" w:hAnsi="仿宋" w:eastAsia="仿宋" w:cs="宋体"/>
                <w:color w:val="000000" w:themeColor="text1"/>
                <w:sz w:val="28"/>
                <w:szCs w:val="28"/>
                <w14:textFill>
                  <w14:solidFill>
                    <w14:schemeClr w14:val="tx1"/>
                  </w14:solidFill>
                </w14:textFill>
              </w:rPr>
              <w:t>活动情况统计表</w:t>
            </w:r>
            <w:r>
              <w:rPr>
                <w:rFonts w:hint="eastAsia" w:ascii="仿宋" w:hAnsi="仿宋" w:eastAsia="仿宋" w:cs="宋体"/>
                <w:color w:val="000000" w:themeColor="text1"/>
                <w:sz w:val="28"/>
                <w:szCs w:val="28"/>
                <w:lang w:eastAsia="zh-CN"/>
                <w14:textFill>
                  <w14:solidFill>
                    <w14:schemeClr w14:val="tx1"/>
                  </w14:solidFill>
                </w14:textFill>
              </w:rPr>
              <w:t>、</w:t>
            </w:r>
            <w:r>
              <w:rPr>
                <w:rFonts w:hint="eastAsia" w:ascii="仿宋" w:hAnsi="仿宋" w:eastAsia="仿宋" w:cs="宋体"/>
                <w:color w:val="000000" w:themeColor="text1"/>
                <w:sz w:val="28"/>
                <w:szCs w:val="28"/>
                <w:lang w:val="en-US" w:eastAsia="zh-CN"/>
                <w14:textFill>
                  <w14:solidFill>
                    <w14:schemeClr w14:val="tx1"/>
                  </w14:solidFill>
                </w14:textFill>
              </w:rPr>
              <w:t>特</w:t>
            </w:r>
            <w:bookmarkStart w:id="0" w:name="_GoBack"/>
            <w:bookmarkEnd w:id="0"/>
            <w:r>
              <w:rPr>
                <w:rFonts w:hint="eastAsia" w:ascii="仿宋" w:hAnsi="仿宋" w:eastAsia="仿宋" w:cs="宋体"/>
                <w:color w:val="000000" w:themeColor="text1"/>
                <w:sz w:val="28"/>
                <w:szCs w:val="28"/>
                <w:lang w:val="en-US" w:eastAsia="zh-CN"/>
                <w14:textFill>
                  <w14:solidFill>
                    <w14:schemeClr w14:val="tx1"/>
                  </w14:solidFill>
                </w14:textFill>
              </w:rPr>
              <w:t>色活动图文简讯</w:t>
            </w:r>
          </w:p>
        </w:tc>
        <w:tc>
          <w:tcPr>
            <w:tcW w:w="2268" w:type="dxa"/>
            <w:noWrap w:val="0"/>
            <w:vAlign w:val="center"/>
          </w:tcPr>
          <w:p w14:paraId="128E3C5B">
            <w:pPr>
              <w:widowControl/>
              <w:spacing w:before="240" w:after="312" w:afterLines="100" w:line="536" w:lineRule="exact"/>
              <w:jc w:val="center"/>
              <w:rPr>
                <w:rFonts w:ascii="仿宋" w:hAnsi="仿宋" w:eastAsia="仿宋" w:cs="宋体"/>
                <w:color w:val="000000" w:themeColor="text1"/>
                <w:sz w:val="28"/>
                <w:szCs w:val="28"/>
                <w14:textFill>
                  <w14:solidFill>
                    <w14:schemeClr w14:val="tx1"/>
                  </w14:solidFill>
                </w14:textFill>
              </w:rPr>
            </w:pPr>
            <w:r>
              <w:rPr>
                <w:rFonts w:hint="eastAsia" w:ascii="仿宋" w:hAnsi="仿宋" w:eastAsia="仿宋" w:cs="宋体"/>
                <w:color w:val="000000" w:themeColor="text1"/>
                <w:sz w:val="28"/>
                <w:szCs w:val="28"/>
                <w:lang w:val="en-US" w:eastAsia="zh-CN"/>
                <w14:textFill>
                  <w14:solidFill>
                    <w14:schemeClr w14:val="tx1"/>
                  </w14:solidFill>
                </w14:textFill>
              </w:rPr>
              <w:t>11</w:t>
            </w:r>
            <w:r>
              <w:rPr>
                <w:rFonts w:hint="eastAsia" w:ascii="仿宋" w:hAnsi="仿宋" w:eastAsia="仿宋" w:cs="宋体"/>
                <w:color w:val="000000" w:themeColor="text1"/>
                <w:sz w:val="28"/>
                <w:szCs w:val="28"/>
                <w14:textFill>
                  <w14:solidFill>
                    <w14:schemeClr w14:val="tx1"/>
                  </w14:solidFill>
                </w14:textFill>
              </w:rPr>
              <w:t>月</w:t>
            </w:r>
            <w:r>
              <w:rPr>
                <w:rFonts w:hint="eastAsia" w:ascii="仿宋" w:hAnsi="仿宋" w:eastAsia="仿宋" w:cs="宋体"/>
                <w:color w:val="000000" w:themeColor="text1"/>
                <w:sz w:val="28"/>
                <w:szCs w:val="28"/>
                <w:lang w:val="en-US" w:eastAsia="zh-CN"/>
                <w14:textFill>
                  <w14:solidFill>
                    <w14:schemeClr w14:val="tx1"/>
                  </w14:solidFill>
                </w14:textFill>
              </w:rPr>
              <w:t>4</w:t>
            </w:r>
            <w:r>
              <w:rPr>
                <w:rFonts w:hint="eastAsia" w:ascii="仿宋" w:hAnsi="仿宋" w:eastAsia="仿宋" w:cs="宋体"/>
                <w:color w:val="000000" w:themeColor="text1"/>
                <w:sz w:val="28"/>
                <w:szCs w:val="28"/>
                <w14:textFill>
                  <w14:solidFill>
                    <w14:schemeClr w14:val="tx1"/>
                  </w14:solidFill>
                </w14:textFill>
              </w:rPr>
              <w:t>日前</w:t>
            </w:r>
          </w:p>
        </w:tc>
      </w:tr>
    </w:tbl>
    <w:p w14:paraId="54366626">
      <w:pPr>
        <w:widowControl/>
        <w:spacing w:before="240" w:after="312" w:afterLines="100" w:line="536" w:lineRule="exact"/>
        <w:jc w:val="left"/>
        <w:rPr>
          <w:rFonts w:hint="eastAsia" w:ascii="仿宋" w:hAnsi="仿宋" w:eastAsia="仿宋" w:cs="宋体"/>
          <w:color w:val="FF0000"/>
          <w:szCs w:val="21"/>
        </w:rPr>
      </w:pPr>
    </w:p>
    <w:p w14:paraId="784FB7D2">
      <w:pPr>
        <w:widowControl/>
        <w:spacing w:line="600" w:lineRule="exact"/>
        <w:rPr>
          <w:color w:val="FF0000"/>
        </w:rPr>
      </w:pPr>
    </w:p>
    <w:sectPr>
      <w:headerReference r:id="rId7" w:type="default"/>
      <w:footerReference r:id="rId8" w:type="default"/>
      <w:pgSz w:w="11906" w:h="16838"/>
      <w:pgMar w:top="1644" w:right="1588" w:bottom="1644" w:left="1588" w:header="851" w:footer="1418"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A4C77">
    <w:pPr>
      <w:pStyle w:val="11"/>
      <w:spacing w:line="240" w:lineRule="atLeast"/>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FFFCD">
    <w:pPr>
      <w:pStyle w:val="11"/>
      <w:framePr w:wrap="around" w:vAnchor="text" w:hAnchor="margin" w:xAlign="center" w:y="1"/>
      <w:rPr>
        <w:rStyle w:val="18"/>
      </w:rPr>
    </w:pPr>
    <w:r>
      <w:rPr>
        <w:rStyle w:val="18"/>
      </w:rPr>
      <w:fldChar w:fldCharType="begin"/>
    </w:r>
    <w:r>
      <w:rPr>
        <w:rStyle w:val="18"/>
      </w:rPr>
      <w:instrText xml:space="preserve">PAGE  </w:instrText>
    </w:r>
    <w:r>
      <w:rPr>
        <w:rStyle w:val="18"/>
      </w:rPr>
      <w:fldChar w:fldCharType="end"/>
    </w:r>
  </w:p>
  <w:p w14:paraId="7FCA86D5">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434B2">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E0B9B">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558"/>
    <w:rsid w:val="00014257"/>
    <w:rsid w:val="000207F4"/>
    <w:rsid w:val="000221D5"/>
    <w:rsid w:val="000C11DE"/>
    <w:rsid w:val="00114B12"/>
    <w:rsid w:val="00134D74"/>
    <w:rsid w:val="00180F8A"/>
    <w:rsid w:val="002B47B7"/>
    <w:rsid w:val="00311558"/>
    <w:rsid w:val="00380D33"/>
    <w:rsid w:val="004A3C55"/>
    <w:rsid w:val="004D5AA8"/>
    <w:rsid w:val="004E3AA2"/>
    <w:rsid w:val="00516672"/>
    <w:rsid w:val="005F4FD6"/>
    <w:rsid w:val="006949C3"/>
    <w:rsid w:val="0070529C"/>
    <w:rsid w:val="008A5A6C"/>
    <w:rsid w:val="00A15038"/>
    <w:rsid w:val="00B06ABE"/>
    <w:rsid w:val="00B30B42"/>
    <w:rsid w:val="00BF030A"/>
    <w:rsid w:val="00C00EF4"/>
    <w:rsid w:val="00DE3C1A"/>
    <w:rsid w:val="00DE77AE"/>
    <w:rsid w:val="00E03091"/>
    <w:rsid w:val="00FB1A5A"/>
    <w:rsid w:val="00FC1CFB"/>
    <w:rsid w:val="00FE1AF7"/>
    <w:rsid w:val="020E3E06"/>
    <w:rsid w:val="04BA3B7B"/>
    <w:rsid w:val="04BF763A"/>
    <w:rsid w:val="079E3E7E"/>
    <w:rsid w:val="08C96D7B"/>
    <w:rsid w:val="09954E0D"/>
    <w:rsid w:val="0CE27DCE"/>
    <w:rsid w:val="0D766D04"/>
    <w:rsid w:val="0D8B27AF"/>
    <w:rsid w:val="0E7F6C03"/>
    <w:rsid w:val="0EC0292C"/>
    <w:rsid w:val="0EC3241C"/>
    <w:rsid w:val="10466E61"/>
    <w:rsid w:val="10D56CC5"/>
    <w:rsid w:val="13687232"/>
    <w:rsid w:val="15090209"/>
    <w:rsid w:val="17AE2753"/>
    <w:rsid w:val="1A7F146A"/>
    <w:rsid w:val="20004197"/>
    <w:rsid w:val="20A025BE"/>
    <w:rsid w:val="23335C2F"/>
    <w:rsid w:val="233E19DC"/>
    <w:rsid w:val="23C37A76"/>
    <w:rsid w:val="28237D5C"/>
    <w:rsid w:val="286914E7"/>
    <w:rsid w:val="29CD0C5B"/>
    <w:rsid w:val="2E474078"/>
    <w:rsid w:val="2F131057"/>
    <w:rsid w:val="326D68D7"/>
    <w:rsid w:val="33E435CB"/>
    <w:rsid w:val="3589141A"/>
    <w:rsid w:val="370937F2"/>
    <w:rsid w:val="37353608"/>
    <w:rsid w:val="41543FF0"/>
    <w:rsid w:val="44EF15D0"/>
    <w:rsid w:val="47596E9F"/>
    <w:rsid w:val="47755A1C"/>
    <w:rsid w:val="49415E3C"/>
    <w:rsid w:val="4E6A1991"/>
    <w:rsid w:val="4F4D360D"/>
    <w:rsid w:val="53D63625"/>
    <w:rsid w:val="53F1045F"/>
    <w:rsid w:val="55CD175E"/>
    <w:rsid w:val="5C341831"/>
    <w:rsid w:val="5D0D499F"/>
    <w:rsid w:val="5F486D35"/>
    <w:rsid w:val="5FB355E3"/>
    <w:rsid w:val="5FEA0CF8"/>
    <w:rsid w:val="60A3731B"/>
    <w:rsid w:val="62773F76"/>
    <w:rsid w:val="62AC0373"/>
    <w:rsid w:val="64B259E8"/>
    <w:rsid w:val="66EF0765"/>
    <w:rsid w:val="66EF4CD2"/>
    <w:rsid w:val="67BA0E3C"/>
    <w:rsid w:val="68695A75"/>
    <w:rsid w:val="69801C11"/>
    <w:rsid w:val="6B5706A6"/>
    <w:rsid w:val="6C727F37"/>
    <w:rsid w:val="73A3131E"/>
    <w:rsid w:val="74B25233"/>
    <w:rsid w:val="78A53107"/>
    <w:rsid w:val="78B508F7"/>
    <w:rsid w:val="78B80CAD"/>
    <w:rsid w:val="7B286145"/>
    <w:rsid w:val="7C6929D9"/>
    <w:rsid w:val="7E023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styleId="2">
    <w:name w:val="heading 1"/>
    <w:basedOn w:val="1"/>
    <w:next w:val="1"/>
    <w:link w:val="20"/>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21"/>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4">
    <w:name w:val="heading 3"/>
    <w:basedOn w:val="1"/>
    <w:next w:val="1"/>
    <w:link w:val="22"/>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5">
    <w:name w:val="heading 4"/>
    <w:basedOn w:val="1"/>
    <w:next w:val="1"/>
    <w:link w:val="23"/>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4"/>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14:ligatures w14:val="standardContextual"/>
    </w:rPr>
  </w:style>
  <w:style w:type="paragraph" w:styleId="7">
    <w:name w:val="heading 6"/>
    <w:basedOn w:val="1"/>
    <w:next w:val="1"/>
    <w:link w:val="25"/>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14:ligatures w14:val="standardContextual"/>
    </w:rPr>
  </w:style>
  <w:style w:type="paragraph" w:styleId="8">
    <w:name w:val="heading 7"/>
    <w:basedOn w:val="1"/>
    <w:next w:val="1"/>
    <w:link w:val="26"/>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7"/>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8"/>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0"/>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styleId="18">
    <w:name w:val="page number"/>
    <w:qFormat/>
    <w:uiPriority w:val="0"/>
  </w:style>
  <w:style w:type="character" w:styleId="19">
    <w:name w:val="Hyperlink"/>
    <w:basedOn w:val="17"/>
    <w:semiHidden/>
    <w:unhideWhenUsed/>
    <w:qFormat/>
    <w:uiPriority w:val="99"/>
    <w:rPr>
      <w:color w:val="0000FF"/>
      <w:u w:val="single"/>
    </w:rPr>
  </w:style>
  <w:style w:type="character" w:customStyle="1" w:styleId="20">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7"/>
    <w:link w:val="5"/>
    <w:semiHidden/>
    <w:qFormat/>
    <w:uiPriority w:val="9"/>
    <w:rPr>
      <w:rFonts w:cstheme="majorBidi"/>
      <w:color w:val="2F5597" w:themeColor="accent1" w:themeShade="BF"/>
      <w:sz w:val="28"/>
      <w:szCs w:val="28"/>
    </w:rPr>
  </w:style>
  <w:style w:type="character" w:customStyle="1" w:styleId="24">
    <w:name w:val="标题 5 字符"/>
    <w:basedOn w:val="17"/>
    <w:link w:val="6"/>
    <w:semiHidden/>
    <w:qFormat/>
    <w:uiPriority w:val="9"/>
    <w:rPr>
      <w:rFonts w:cstheme="majorBidi"/>
      <w:color w:val="2F5597" w:themeColor="accent1" w:themeShade="BF"/>
      <w:sz w:val="24"/>
    </w:rPr>
  </w:style>
  <w:style w:type="character" w:customStyle="1" w:styleId="25">
    <w:name w:val="标题 6 字符"/>
    <w:basedOn w:val="17"/>
    <w:link w:val="7"/>
    <w:semiHidden/>
    <w:qFormat/>
    <w:uiPriority w:val="9"/>
    <w:rPr>
      <w:rFonts w:cstheme="majorBidi"/>
      <w:b/>
      <w:bCs/>
      <w:color w:val="2F5597" w:themeColor="accent1" w:themeShade="BF"/>
    </w:rPr>
  </w:style>
  <w:style w:type="character" w:customStyle="1" w:styleId="26">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2">
    <w:name w:val="引用 字符"/>
    <w:basedOn w:val="17"/>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4">
    <w:name w:val="Intense Emphasis"/>
    <w:basedOn w:val="17"/>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14:ligatures w14:val="standardContextual"/>
    </w:rPr>
  </w:style>
  <w:style w:type="character" w:customStyle="1" w:styleId="36">
    <w:name w:val="明显引用 字符"/>
    <w:basedOn w:val="17"/>
    <w:link w:val="35"/>
    <w:qFormat/>
    <w:uiPriority w:val="30"/>
    <w:rPr>
      <w:i/>
      <w:iCs/>
      <w:color w:val="2F5597" w:themeColor="accent1" w:themeShade="BF"/>
    </w:rPr>
  </w:style>
  <w:style w:type="character" w:customStyle="1" w:styleId="37">
    <w:name w:val="Intense Reference"/>
    <w:basedOn w:val="17"/>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2134</Words>
  <Characters>2245</Characters>
  <Lines>19</Lines>
  <Paragraphs>5</Paragraphs>
  <TotalTime>0</TotalTime>
  <ScaleCrop>false</ScaleCrop>
  <LinksUpToDate>false</LinksUpToDate>
  <CharactersWithSpaces>2270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2025-09-07T06:31:00Z</dcterms:created>
  <dc:creator>Zepeng Liang</dc:creator>
  <cp:lastModifiedBy>王绪蓉</cp:lastModifiedBy>
  <dcterms:modified xsi:type="dcterms:W3CDTF">2026-09-10T08:47:06Z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eyJoZGlkIjoiNzY4MTM1ZGZiMjk0NTc3N2QxMzI1MmFhNmVkYjU5ZmQiLCJ1c2VySWQiOiIyODU4MDYzMzIifQ==</vt:lpwstr>
  </property>
  <property fmtid="{D5CDD505-2E9C-101B-9397-08002B2CF9AE}" pid="3" name="KSOProductBuildVer">
    <vt:lpwstr>2052-12.1.0.28505</vt:lpwstr>
  </property>
  <property fmtid="{D5CDD505-2E9C-101B-9397-08002B2CF9AE}" pid="4" name="ICV">
    <vt:lpwstr>91D7D33E4889485BA5F4C05273D033EE_12</vt:lpwstr>
  </property>
</Properties>
</file>